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B44B9" w:rsidRPr="00B40EB2" w:rsidRDefault="00550A11" w:rsidP="00B47267">
      <w:pPr>
        <w:pStyle w:val="BATitle"/>
        <w:pageBreakBefore/>
      </w:pPr>
      <w:r w:rsidRPr="00B40EB2">
        <w:rPr>
          <w:b/>
        </w:rPr>
        <w:t>Multi-</w:t>
      </w:r>
      <w:r w:rsidR="00770729">
        <w:rPr>
          <w:b/>
        </w:rPr>
        <w:t>S</w:t>
      </w:r>
      <w:r w:rsidRPr="00B40EB2">
        <w:rPr>
          <w:b/>
        </w:rPr>
        <w:t xml:space="preserve">cale </w:t>
      </w:r>
      <w:r w:rsidR="00770729">
        <w:rPr>
          <w:b/>
        </w:rPr>
        <w:t>S</w:t>
      </w:r>
      <w:r w:rsidRPr="00B40EB2">
        <w:rPr>
          <w:b/>
        </w:rPr>
        <w:t xml:space="preserve">ensing of </w:t>
      </w:r>
      <w:r w:rsidR="00770729">
        <w:rPr>
          <w:b/>
        </w:rPr>
        <w:t>A</w:t>
      </w:r>
      <w:r w:rsidRPr="00B40EB2">
        <w:rPr>
          <w:b/>
        </w:rPr>
        <w:t>ntibody-</w:t>
      </w:r>
      <w:r w:rsidR="00770729">
        <w:rPr>
          <w:b/>
        </w:rPr>
        <w:t>A</w:t>
      </w:r>
      <w:r w:rsidRPr="00B40EB2">
        <w:rPr>
          <w:b/>
        </w:rPr>
        <w:t xml:space="preserve">ntigen </w:t>
      </w:r>
      <w:r w:rsidR="00770729" w:rsidRPr="00883912">
        <w:rPr>
          <w:b/>
        </w:rPr>
        <w:t>I</w:t>
      </w:r>
      <w:r w:rsidRPr="00B40EB2">
        <w:rPr>
          <w:b/>
        </w:rPr>
        <w:t xml:space="preserve">nteractions by </w:t>
      </w:r>
      <w:r w:rsidR="00770729" w:rsidRPr="00883912">
        <w:rPr>
          <w:b/>
        </w:rPr>
        <w:t>O</w:t>
      </w:r>
      <w:r w:rsidRPr="00B40EB2">
        <w:rPr>
          <w:b/>
        </w:rPr>
        <w:t xml:space="preserve">rganic </w:t>
      </w:r>
      <w:r w:rsidR="00770729" w:rsidRPr="00883912">
        <w:rPr>
          <w:b/>
        </w:rPr>
        <w:t>T</w:t>
      </w:r>
      <w:r w:rsidRPr="00B40EB2">
        <w:rPr>
          <w:b/>
        </w:rPr>
        <w:t xml:space="preserve">ransistors and </w:t>
      </w:r>
      <w:r w:rsidR="00770729" w:rsidRPr="00883912">
        <w:rPr>
          <w:b/>
        </w:rPr>
        <w:t>S</w:t>
      </w:r>
      <w:r w:rsidRPr="00B40EB2">
        <w:rPr>
          <w:b/>
        </w:rPr>
        <w:t xml:space="preserve">ingle </w:t>
      </w:r>
      <w:r w:rsidR="00770729" w:rsidRPr="00883912">
        <w:rPr>
          <w:b/>
        </w:rPr>
        <w:t>M</w:t>
      </w:r>
      <w:r w:rsidRPr="00B40EB2">
        <w:rPr>
          <w:b/>
        </w:rPr>
        <w:t xml:space="preserve">olecule </w:t>
      </w:r>
      <w:r w:rsidR="00770729" w:rsidRPr="00883912">
        <w:rPr>
          <w:b/>
        </w:rPr>
        <w:t>F</w:t>
      </w:r>
      <w:r w:rsidRPr="00B40EB2">
        <w:rPr>
          <w:b/>
        </w:rPr>
        <w:t xml:space="preserve">orce </w:t>
      </w:r>
      <w:r w:rsidR="00770729" w:rsidRPr="00883912">
        <w:rPr>
          <w:b/>
        </w:rPr>
        <w:t>S</w:t>
      </w:r>
      <w:r w:rsidRPr="00B40EB2">
        <w:rPr>
          <w:b/>
        </w:rPr>
        <w:t>pectroscopy</w:t>
      </w:r>
    </w:p>
    <w:p w:rsidR="007E2ED3" w:rsidRPr="00056ECF" w:rsidRDefault="007E2ED3" w:rsidP="004B3006">
      <w:pPr>
        <w:pStyle w:val="BBAuthorName"/>
        <w:spacing w:line="240" w:lineRule="auto"/>
        <w:jc w:val="left"/>
        <w:rPr>
          <w:vertAlign w:val="superscript"/>
          <w:lang w:val="it-IT"/>
        </w:rPr>
      </w:pPr>
      <w:r w:rsidRPr="00056ECF">
        <w:rPr>
          <w:lang w:val="it-IT"/>
        </w:rPr>
        <w:t>Stefano Casalini</w:t>
      </w:r>
      <w:r w:rsidRPr="00056ECF">
        <w:rPr>
          <w:vertAlign w:val="superscript"/>
          <w:lang w:val="it-IT"/>
        </w:rPr>
        <w:t xml:space="preserve"> 1,*</w:t>
      </w:r>
      <w:r w:rsidRPr="00056ECF">
        <w:rPr>
          <w:lang w:val="it-IT"/>
        </w:rPr>
        <w:t xml:space="preserve">, </w:t>
      </w:r>
      <w:r w:rsidR="007B356F" w:rsidRPr="00056ECF">
        <w:rPr>
          <w:lang w:val="it-IT"/>
        </w:rPr>
        <w:t xml:space="preserve">Andra </w:t>
      </w:r>
      <w:r w:rsidR="00B94C70" w:rsidRPr="00883912">
        <w:rPr>
          <w:lang w:val="it-IT"/>
        </w:rPr>
        <w:t>C.</w:t>
      </w:r>
      <w:r w:rsidR="00B94C70">
        <w:rPr>
          <w:lang w:val="it-IT"/>
        </w:rPr>
        <w:t xml:space="preserve"> </w:t>
      </w:r>
      <w:r w:rsidR="007B356F" w:rsidRPr="00056ECF">
        <w:rPr>
          <w:lang w:val="it-IT"/>
        </w:rPr>
        <w:t>Dumitru</w:t>
      </w:r>
      <w:r w:rsidR="007B356F" w:rsidRPr="00056ECF">
        <w:rPr>
          <w:vertAlign w:val="superscript"/>
          <w:lang w:val="it-IT"/>
        </w:rPr>
        <w:t>2</w:t>
      </w:r>
      <w:r w:rsidR="007B356F" w:rsidRPr="00056ECF">
        <w:rPr>
          <w:lang w:val="it-IT"/>
        </w:rPr>
        <w:t xml:space="preserve">, </w:t>
      </w:r>
      <w:r w:rsidRPr="00056ECF">
        <w:rPr>
          <w:lang w:val="it-IT"/>
        </w:rPr>
        <w:t>Francesca Leonardi</w:t>
      </w:r>
      <w:r w:rsidR="00C03A0A" w:rsidRPr="00056ECF">
        <w:rPr>
          <w:vertAlign w:val="superscript"/>
          <w:lang w:val="it-IT"/>
        </w:rPr>
        <w:t>3</w:t>
      </w:r>
      <w:r w:rsidR="00B47267" w:rsidRPr="00056ECF">
        <w:rPr>
          <w:vertAlign w:val="superscript"/>
          <w:lang w:val="it-IT"/>
        </w:rPr>
        <w:t>,4</w:t>
      </w:r>
      <w:r w:rsidRPr="00056ECF">
        <w:rPr>
          <w:lang w:val="it-IT"/>
        </w:rPr>
        <w:t>, Carlo A. Bortolotti</w:t>
      </w:r>
      <w:r w:rsidRPr="00056ECF">
        <w:rPr>
          <w:vertAlign w:val="superscript"/>
          <w:lang w:val="it-IT"/>
        </w:rPr>
        <w:t>1</w:t>
      </w:r>
      <w:r w:rsidRPr="00056ECF">
        <w:rPr>
          <w:lang w:val="it-IT"/>
        </w:rPr>
        <w:t>, Elena T. Herruzo</w:t>
      </w:r>
      <w:r w:rsidR="007B356F" w:rsidRPr="00056ECF">
        <w:rPr>
          <w:vertAlign w:val="superscript"/>
          <w:lang w:val="it-IT"/>
        </w:rPr>
        <w:t>2</w:t>
      </w:r>
      <w:r w:rsidR="004F5851">
        <w:rPr>
          <w:lang w:val="it-IT"/>
        </w:rPr>
        <w:t>, Alessandra Campan</w:t>
      </w:r>
      <w:r w:rsidR="00B55874">
        <w:rPr>
          <w:lang w:val="it-IT"/>
        </w:rPr>
        <w:t>a</w:t>
      </w:r>
      <w:r w:rsidR="0054228F" w:rsidRPr="00056ECF">
        <w:rPr>
          <w:vertAlign w:val="superscript"/>
          <w:lang w:val="it-IT"/>
        </w:rPr>
        <w:t>5</w:t>
      </w:r>
      <w:r w:rsidR="004F5851">
        <w:rPr>
          <w:vertAlign w:val="superscript"/>
          <w:lang w:val="it-IT"/>
        </w:rPr>
        <w:t>,3</w:t>
      </w:r>
      <w:r w:rsidRPr="00056ECF">
        <w:rPr>
          <w:lang w:val="it-IT"/>
        </w:rPr>
        <w:t>, Rafael F. de Oliveira</w:t>
      </w:r>
      <w:r w:rsidR="00C03A0A" w:rsidRPr="00056ECF">
        <w:rPr>
          <w:vertAlign w:val="superscript"/>
          <w:lang w:val="it-IT"/>
        </w:rPr>
        <w:t>,</w:t>
      </w:r>
      <w:r w:rsidR="00B47267" w:rsidRPr="00056ECF">
        <w:rPr>
          <w:vertAlign w:val="superscript"/>
          <w:lang w:val="it-IT"/>
        </w:rPr>
        <w:t>1,6</w:t>
      </w:r>
      <w:r w:rsidRPr="00056ECF">
        <w:rPr>
          <w:lang w:val="it-IT"/>
        </w:rPr>
        <w:t>, Tobias Cramer</w:t>
      </w:r>
      <w:r w:rsidR="00B47267" w:rsidRPr="00056ECF">
        <w:rPr>
          <w:vertAlign w:val="superscript"/>
          <w:lang w:val="it-IT"/>
        </w:rPr>
        <w:t>3,7</w:t>
      </w:r>
      <w:r w:rsidRPr="00056ECF">
        <w:rPr>
          <w:lang w:val="it-IT"/>
        </w:rPr>
        <w:t>, Ricardo Garcia</w:t>
      </w:r>
      <w:r w:rsidR="00C03A0A" w:rsidRPr="00056ECF">
        <w:rPr>
          <w:vertAlign w:val="superscript"/>
          <w:lang w:val="it-IT"/>
        </w:rPr>
        <w:t>2</w:t>
      </w:r>
      <w:r w:rsidR="004F5851">
        <w:rPr>
          <w:vertAlign w:val="superscript"/>
          <w:lang w:val="it-IT"/>
        </w:rPr>
        <w:t>,</w:t>
      </w:r>
      <w:r w:rsidR="00144CB6" w:rsidRPr="00056ECF">
        <w:rPr>
          <w:vertAlign w:val="superscript"/>
          <w:lang w:val="it-IT"/>
        </w:rPr>
        <w:t>*</w:t>
      </w:r>
      <w:r w:rsidRPr="00056ECF">
        <w:rPr>
          <w:lang w:val="it-IT"/>
        </w:rPr>
        <w:t>, Fabio Biscarini</w:t>
      </w:r>
      <w:r w:rsidR="00026930" w:rsidRPr="00056ECF">
        <w:rPr>
          <w:vertAlign w:val="superscript"/>
          <w:lang w:val="it-IT"/>
        </w:rPr>
        <w:t>1</w:t>
      </w:r>
      <w:r w:rsidR="0013070B" w:rsidRPr="00056ECF">
        <w:rPr>
          <w:vertAlign w:val="superscript"/>
          <w:lang w:val="it-IT"/>
        </w:rPr>
        <w:t>,</w:t>
      </w:r>
      <w:r w:rsidR="00B47267" w:rsidRPr="00056ECF">
        <w:rPr>
          <w:vertAlign w:val="superscript"/>
          <w:lang w:val="it-IT"/>
        </w:rPr>
        <w:t>3</w:t>
      </w:r>
    </w:p>
    <w:p w:rsidR="007E2ED3" w:rsidRPr="00056ECF" w:rsidRDefault="007E2ED3" w:rsidP="004B3006">
      <w:pPr>
        <w:pStyle w:val="BCAuthorAddress"/>
        <w:spacing w:line="240" w:lineRule="auto"/>
        <w:jc w:val="left"/>
        <w:rPr>
          <w:lang w:val="it-IT"/>
        </w:rPr>
      </w:pPr>
      <w:r w:rsidRPr="00056ECF">
        <w:rPr>
          <w:vertAlign w:val="superscript"/>
          <w:lang w:val="it-IT"/>
        </w:rPr>
        <w:t>1</w:t>
      </w:r>
      <w:r w:rsidRPr="00056ECF">
        <w:rPr>
          <w:lang w:val="it-IT"/>
        </w:rPr>
        <w:t xml:space="preserve"> </w:t>
      </w:r>
      <w:r w:rsidR="003A168D" w:rsidRPr="00541955">
        <w:rPr>
          <w:lang w:val="it-IT"/>
        </w:rPr>
        <w:t>Università d</w:t>
      </w:r>
      <w:r w:rsidR="0051708D">
        <w:rPr>
          <w:lang w:val="it-IT"/>
        </w:rPr>
        <w:t>egli Studi di</w:t>
      </w:r>
      <w:r w:rsidR="009B55ED" w:rsidRPr="00541955">
        <w:rPr>
          <w:lang w:val="it-IT"/>
        </w:rPr>
        <w:t xml:space="preserve"> Modena </w:t>
      </w:r>
      <w:r w:rsidR="003A168D" w:rsidRPr="00541955">
        <w:rPr>
          <w:lang w:val="it-IT"/>
        </w:rPr>
        <w:t>e</w:t>
      </w:r>
      <w:r w:rsidR="009B55ED" w:rsidRPr="00541955">
        <w:rPr>
          <w:lang w:val="it-IT"/>
        </w:rPr>
        <w:t xml:space="preserve"> Reggio Emilia,</w:t>
      </w:r>
      <w:r w:rsidR="00B94C70" w:rsidRPr="00541955">
        <w:rPr>
          <w:lang w:val="it-IT"/>
        </w:rPr>
        <w:t xml:space="preserve"> Dipartimento di Scienze della Vita</w:t>
      </w:r>
      <w:r w:rsidR="00B94C70">
        <w:rPr>
          <w:lang w:val="it-IT"/>
        </w:rPr>
        <w:t>,</w:t>
      </w:r>
      <w:r w:rsidR="009B55ED" w:rsidRPr="00056ECF">
        <w:rPr>
          <w:lang w:val="it-IT"/>
        </w:rPr>
        <w:t xml:space="preserve"> </w:t>
      </w:r>
      <w:r w:rsidR="003A168D" w:rsidRPr="00056ECF">
        <w:rPr>
          <w:lang w:val="it-IT"/>
        </w:rPr>
        <w:t>Via</w:t>
      </w:r>
      <w:r w:rsidRPr="00056ECF">
        <w:rPr>
          <w:lang w:val="it-IT"/>
        </w:rPr>
        <w:t xml:space="preserve"> Campi </w:t>
      </w:r>
      <w:r w:rsidR="004B3006" w:rsidRPr="00056ECF">
        <w:rPr>
          <w:lang w:val="it-IT"/>
        </w:rPr>
        <w:t>183, 41125 Modena, Italy</w:t>
      </w:r>
      <w:r w:rsidRPr="00056ECF">
        <w:rPr>
          <w:lang w:val="it-IT"/>
        </w:rPr>
        <w:t>.</w:t>
      </w:r>
    </w:p>
    <w:p w:rsidR="007B356F" w:rsidRPr="00056ECF" w:rsidRDefault="007B356F" w:rsidP="004B3006">
      <w:pPr>
        <w:pStyle w:val="AIReceivedDate"/>
        <w:spacing w:line="240" w:lineRule="auto"/>
        <w:rPr>
          <w:b w:val="0"/>
          <w:lang w:val="it-IT"/>
        </w:rPr>
      </w:pPr>
      <w:r w:rsidRPr="00056ECF">
        <w:rPr>
          <w:b w:val="0"/>
          <w:vertAlign w:val="superscript"/>
          <w:lang w:val="it-IT"/>
        </w:rPr>
        <w:t>2</w:t>
      </w:r>
      <w:r w:rsidR="004B3006" w:rsidRPr="00056ECF">
        <w:rPr>
          <w:b w:val="0"/>
          <w:vertAlign w:val="superscript"/>
          <w:lang w:val="it-IT"/>
        </w:rPr>
        <w:t xml:space="preserve"> </w:t>
      </w:r>
      <w:r w:rsidRPr="00056ECF">
        <w:rPr>
          <w:b w:val="0"/>
          <w:lang w:val="it-IT"/>
        </w:rPr>
        <w:t xml:space="preserve">Instituto de </w:t>
      </w:r>
      <w:r w:rsidR="009B55ED" w:rsidRPr="00056ECF">
        <w:rPr>
          <w:b w:val="0"/>
          <w:lang w:val="it-IT"/>
        </w:rPr>
        <w:t xml:space="preserve">Ciencia </w:t>
      </w:r>
      <w:r w:rsidRPr="00056ECF">
        <w:rPr>
          <w:b w:val="0"/>
          <w:lang w:val="it-IT"/>
        </w:rPr>
        <w:t>de Materiales de Madrid (CSIC), 28049 Madrid, Spain.</w:t>
      </w:r>
    </w:p>
    <w:p w:rsidR="003A168D" w:rsidRPr="00056ECF" w:rsidRDefault="00F56954" w:rsidP="004B3006">
      <w:pPr>
        <w:pStyle w:val="AIReceivedDate"/>
        <w:spacing w:line="240" w:lineRule="auto"/>
        <w:rPr>
          <w:b w:val="0"/>
          <w:lang w:val="it-IT"/>
        </w:rPr>
      </w:pPr>
      <w:r w:rsidRPr="00056ECF">
        <w:rPr>
          <w:b w:val="0"/>
          <w:vertAlign w:val="superscript"/>
          <w:lang w:val="it-IT"/>
        </w:rPr>
        <w:t>3</w:t>
      </w:r>
      <w:r w:rsidR="004B3006" w:rsidRPr="00056ECF">
        <w:rPr>
          <w:b w:val="0"/>
          <w:lang w:val="it-IT"/>
        </w:rPr>
        <w:t xml:space="preserve"> </w:t>
      </w:r>
      <w:r w:rsidR="003A168D" w:rsidRPr="00541955">
        <w:rPr>
          <w:b w:val="0"/>
          <w:lang w:val="it-IT"/>
        </w:rPr>
        <w:t>Consiglio Nazionale delle Ricerche</w:t>
      </w:r>
      <w:r w:rsidR="00B94C70" w:rsidRPr="00541955">
        <w:rPr>
          <w:b w:val="0"/>
          <w:lang w:val="it-IT"/>
        </w:rPr>
        <w:t xml:space="preserve"> (CNR)</w:t>
      </w:r>
      <w:r w:rsidR="003A168D" w:rsidRPr="00541955">
        <w:rPr>
          <w:b w:val="0"/>
          <w:lang w:val="it-IT"/>
        </w:rPr>
        <w:t>, Istituto per lo Studio dei Materiali Nanostrutturati</w:t>
      </w:r>
      <w:r w:rsidR="00B94C70" w:rsidRPr="00541955">
        <w:rPr>
          <w:b w:val="0"/>
          <w:lang w:val="it-IT"/>
        </w:rPr>
        <w:t xml:space="preserve"> (ISMN)</w:t>
      </w:r>
      <w:r w:rsidR="003A168D" w:rsidRPr="00056ECF">
        <w:rPr>
          <w:b w:val="0"/>
          <w:lang w:val="it-IT"/>
        </w:rPr>
        <w:t>, Via Gobetti 101, 40129 Bologna, Italy,</w:t>
      </w:r>
    </w:p>
    <w:p w:rsidR="00F56954" w:rsidRPr="00056ECF" w:rsidRDefault="003A168D" w:rsidP="004B3006">
      <w:pPr>
        <w:pStyle w:val="AIReceivedDate"/>
        <w:spacing w:line="240" w:lineRule="auto"/>
        <w:rPr>
          <w:vertAlign w:val="superscript"/>
          <w:lang w:val="it-IT"/>
        </w:rPr>
      </w:pPr>
      <w:r w:rsidRPr="00B94C70">
        <w:rPr>
          <w:b w:val="0"/>
          <w:vertAlign w:val="superscript"/>
          <w:lang w:val="it-IT"/>
        </w:rPr>
        <w:t>4</w:t>
      </w:r>
      <w:r w:rsidRPr="00056ECF">
        <w:rPr>
          <w:vertAlign w:val="superscript"/>
          <w:lang w:val="it-IT"/>
        </w:rPr>
        <w:t xml:space="preserve"> </w:t>
      </w:r>
      <w:r w:rsidRPr="00541955">
        <w:rPr>
          <w:b w:val="0"/>
          <w:lang w:val="it-IT"/>
        </w:rPr>
        <w:t>Consiglio Nazionale delle Ricerche</w:t>
      </w:r>
      <w:r w:rsidR="00B94C70" w:rsidRPr="00541955">
        <w:rPr>
          <w:b w:val="0"/>
          <w:lang w:val="it-IT"/>
        </w:rPr>
        <w:t xml:space="preserve"> (CNR)</w:t>
      </w:r>
      <w:r w:rsidR="009B55ED" w:rsidRPr="00541955">
        <w:rPr>
          <w:b w:val="0"/>
          <w:lang w:val="it-IT"/>
        </w:rPr>
        <w:t xml:space="preserve">, </w:t>
      </w:r>
      <w:r w:rsidRPr="00541955">
        <w:rPr>
          <w:b w:val="0"/>
          <w:lang w:val="it-IT"/>
        </w:rPr>
        <w:t>Istituto per la Sintesi Organica e Fotoreattività</w:t>
      </w:r>
      <w:r w:rsidR="00B94C70" w:rsidRPr="00541955">
        <w:rPr>
          <w:b w:val="0"/>
          <w:lang w:val="it-IT"/>
        </w:rPr>
        <w:t xml:space="preserve"> (ISOF)</w:t>
      </w:r>
      <w:r w:rsidR="004B3006" w:rsidRPr="00056ECF">
        <w:rPr>
          <w:b w:val="0"/>
          <w:lang w:val="it-IT"/>
        </w:rPr>
        <w:t xml:space="preserve">, </w:t>
      </w:r>
      <w:r w:rsidRPr="00056ECF">
        <w:rPr>
          <w:b w:val="0"/>
          <w:lang w:val="it-IT"/>
        </w:rPr>
        <w:t>Via Gobetti 101, I-40129 Bologna, Italy.</w:t>
      </w:r>
    </w:p>
    <w:p w:rsidR="0054228F" w:rsidRPr="00056ECF" w:rsidRDefault="00B47267" w:rsidP="004B3006">
      <w:pPr>
        <w:pStyle w:val="BDAbstract"/>
        <w:spacing w:line="240" w:lineRule="auto"/>
        <w:rPr>
          <w:lang w:val="it-IT"/>
        </w:rPr>
      </w:pPr>
      <w:r w:rsidRPr="00056ECF">
        <w:rPr>
          <w:vertAlign w:val="superscript"/>
          <w:lang w:val="it-IT"/>
        </w:rPr>
        <w:t>5</w:t>
      </w:r>
      <w:r w:rsidR="007E2ED3" w:rsidRPr="00056ECF">
        <w:rPr>
          <w:lang w:val="it-IT"/>
        </w:rPr>
        <w:t xml:space="preserve"> </w:t>
      </w:r>
      <w:r w:rsidR="00E41605">
        <w:rPr>
          <w:lang w:val="it-IT"/>
        </w:rPr>
        <w:t>“</w:t>
      </w:r>
      <w:r w:rsidR="004B3006" w:rsidRPr="00056ECF">
        <w:rPr>
          <w:lang w:val="it-IT"/>
        </w:rPr>
        <w:t>Alma Mater</w:t>
      </w:r>
      <w:r w:rsidR="00D665B2">
        <w:rPr>
          <w:lang w:val="it-IT"/>
        </w:rPr>
        <w:t xml:space="preserve"> Studiorum</w:t>
      </w:r>
      <w:r w:rsidR="00E41605">
        <w:rPr>
          <w:lang w:val="it-IT"/>
        </w:rPr>
        <w:t>”</w:t>
      </w:r>
      <w:r w:rsidR="004B3006" w:rsidRPr="00056ECF">
        <w:rPr>
          <w:lang w:val="it-IT"/>
        </w:rPr>
        <w:t xml:space="preserve">-Università di </w:t>
      </w:r>
      <w:r w:rsidR="0054228F" w:rsidRPr="00056ECF">
        <w:rPr>
          <w:lang w:val="it-IT"/>
        </w:rPr>
        <w:t xml:space="preserve">Bologna, </w:t>
      </w:r>
      <w:r w:rsidR="00735FDA">
        <w:rPr>
          <w:lang w:val="it-IT"/>
        </w:rPr>
        <w:t>Dipartimento di Chimica</w:t>
      </w:r>
      <w:r w:rsidR="0054228F" w:rsidRPr="00056ECF">
        <w:rPr>
          <w:lang w:val="it-IT"/>
        </w:rPr>
        <w:t xml:space="preserve"> “G. Ciamician”, </w:t>
      </w:r>
      <w:r w:rsidR="004B3006" w:rsidRPr="00056ECF">
        <w:rPr>
          <w:lang w:val="it-IT"/>
        </w:rPr>
        <w:t>Via</w:t>
      </w:r>
      <w:r w:rsidR="0054228F" w:rsidRPr="00056ECF">
        <w:rPr>
          <w:lang w:val="it-IT"/>
        </w:rPr>
        <w:t xml:space="preserve"> </w:t>
      </w:r>
      <w:r w:rsidR="004B3006" w:rsidRPr="00056ECF">
        <w:rPr>
          <w:lang w:val="it-IT"/>
        </w:rPr>
        <w:t>Selmi 2</w:t>
      </w:r>
      <w:r w:rsidR="0054228F" w:rsidRPr="00056ECF">
        <w:rPr>
          <w:lang w:val="it-IT"/>
        </w:rPr>
        <w:t>, 40126</w:t>
      </w:r>
      <w:r w:rsidR="004B3006" w:rsidRPr="00056ECF">
        <w:rPr>
          <w:lang w:val="it-IT"/>
        </w:rPr>
        <w:t xml:space="preserve"> Bologna, Italy.</w:t>
      </w:r>
    </w:p>
    <w:p w:rsidR="00D9564C" w:rsidRPr="00B40EB2" w:rsidRDefault="0054228F" w:rsidP="004B3006">
      <w:pPr>
        <w:pStyle w:val="BDAbstract"/>
        <w:spacing w:line="240" w:lineRule="auto"/>
      </w:pPr>
      <w:r w:rsidRPr="00B40EB2">
        <w:rPr>
          <w:vertAlign w:val="superscript"/>
        </w:rPr>
        <w:t>6</w:t>
      </w:r>
      <w:r w:rsidR="00C03A0A" w:rsidRPr="00B40EB2">
        <w:t xml:space="preserve"> </w:t>
      </w:r>
      <w:r w:rsidR="00D9564C" w:rsidRPr="00B40EB2">
        <w:t>São Paulo State University, Unesp, Postgraduate Program in Materials Science and Technology, 17033-360, Bauru, SP, Brazil</w:t>
      </w:r>
    </w:p>
    <w:p w:rsidR="0054228F" w:rsidRPr="008B1960" w:rsidRDefault="0054228F" w:rsidP="004B3006">
      <w:pPr>
        <w:pStyle w:val="BDAbstract"/>
        <w:spacing w:line="240" w:lineRule="auto"/>
        <w:rPr>
          <w:lang w:val="it-IT"/>
        </w:rPr>
      </w:pPr>
      <w:r w:rsidRPr="008B1960">
        <w:rPr>
          <w:vertAlign w:val="superscript"/>
          <w:lang w:val="it-IT"/>
        </w:rPr>
        <w:t>7</w:t>
      </w:r>
      <w:r w:rsidRPr="008B1960">
        <w:rPr>
          <w:lang w:val="it-IT"/>
        </w:rPr>
        <w:t xml:space="preserve"> </w:t>
      </w:r>
      <w:r w:rsidR="00E41605" w:rsidRPr="008B1960">
        <w:rPr>
          <w:lang w:val="it-IT"/>
        </w:rPr>
        <w:t>“</w:t>
      </w:r>
      <w:r w:rsidR="004B3006" w:rsidRPr="008B1960">
        <w:rPr>
          <w:lang w:val="it-IT"/>
        </w:rPr>
        <w:t>Alma Mater</w:t>
      </w:r>
      <w:r w:rsidR="00D665B2" w:rsidRPr="008B1960">
        <w:rPr>
          <w:lang w:val="it-IT"/>
        </w:rPr>
        <w:t xml:space="preserve"> Studiorum</w:t>
      </w:r>
      <w:r w:rsidR="00E41605" w:rsidRPr="008B1960">
        <w:rPr>
          <w:lang w:val="it-IT"/>
        </w:rPr>
        <w:t>”</w:t>
      </w:r>
      <w:r w:rsidR="004B3006" w:rsidRPr="008B1960">
        <w:rPr>
          <w:lang w:val="it-IT"/>
        </w:rPr>
        <w:t xml:space="preserve">-Università di Bologna, </w:t>
      </w:r>
      <w:r w:rsidR="00FC037F" w:rsidRPr="008B1960">
        <w:rPr>
          <w:lang w:val="it-IT"/>
        </w:rPr>
        <w:t>Dipartimento di Fisica e Astronomia</w:t>
      </w:r>
      <w:r w:rsidR="009B55ED" w:rsidRPr="008B1960">
        <w:rPr>
          <w:lang w:val="it-IT"/>
        </w:rPr>
        <w:t xml:space="preserve">, </w:t>
      </w:r>
      <w:r w:rsidR="004B3006" w:rsidRPr="008B1960">
        <w:rPr>
          <w:lang w:val="it-IT"/>
        </w:rPr>
        <w:t>Viale Berti Pichat 6/2, 40127, Italy.</w:t>
      </w:r>
    </w:p>
    <w:p w:rsidR="007E2ED3" w:rsidRPr="00B40EB2" w:rsidRDefault="007E2ED3">
      <w:pPr>
        <w:pStyle w:val="BGKeywords"/>
        <w:spacing w:after="240"/>
        <w:jc w:val="left"/>
      </w:pPr>
      <w:r w:rsidRPr="00B40EB2">
        <w:t>KEYWORDS</w:t>
      </w:r>
      <w:r w:rsidR="00CF23D6" w:rsidRPr="00B40EB2">
        <w:t>:</w:t>
      </w:r>
      <w:r w:rsidRPr="00B40EB2">
        <w:t xml:space="preserve"> </w:t>
      </w:r>
      <w:r w:rsidR="00026930" w:rsidRPr="00B40EB2">
        <w:t xml:space="preserve">organic field effect transistors, </w:t>
      </w:r>
      <w:r w:rsidRPr="00B40EB2">
        <w:t xml:space="preserve">immunosensing, interleukin-4, </w:t>
      </w:r>
      <w:r w:rsidR="00A006FF" w:rsidRPr="00541955">
        <w:t>single molecule</w:t>
      </w:r>
      <w:r w:rsidR="00A006FF">
        <w:t xml:space="preserve"> </w:t>
      </w:r>
      <w:r w:rsidRPr="00B40EB2">
        <w:t>force spectroscopy</w:t>
      </w:r>
      <w:r w:rsidR="00CB44B9" w:rsidRPr="00B40EB2">
        <w:t xml:space="preserve">, </w:t>
      </w:r>
      <w:r w:rsidR="004B0230" w:rsidRPr="00B40EB2">
        <w:t xml:space="preserve">atomic force microscopy, </w:t>
      </w:r>
      <w:r w:rsidR="00CB44B9" w:rsidRPr="00B40EB2">
        <w:t>biorecognition</w:t>
      </w:r>
      <w:r w:rsidR="004B3006" w:rsidRPr="00B40EB2">
        <w:t>, bioelectronics.</w:t>
      </w:r>
    </w:p>
    <w:p w:rsidR="0079302E" w:rsidRPr="00B40EB2" w:rsidRDefault="0079302E">
      <w:pPr>
        <w:suppressAutoHyphens w:val="0"/>
        <w:spacing w:after="0"/>
        <w:jc w:val="left"/>
      </w:pPr>
      <w:r w:rsidRPr="00B40EB2">
        <w:br w:type="page"/>
      </w:r>
    </w:p>
    <w:p w:rsidR="007E2ED3" w:rsidRPr="008B1960" w:rsidRDefault="007E2ED3" w:rsidP="008F5D4F">
      <w:pPr>
        <w:pStyle w:val="BDAbstract"/>
        <w:spacing w:before="0" w:after="240"/>
        <w:jc w:val="left"/>
        <w:outlineLvl w:val="0"/>
        <w:rPr>
          <w:b/>
          <w:shd w:val="clear" w:color="auto" w:fill="FFFF00"/>
        </w:rPr>
      </w:pPr>
      <w:r w:rsidRPr="008B1960">
        <w:rPr>
          <w:b/>
        </w:rPr>
        <w:lastRenderedPageBreak/>
        <w:t xml:space="preserve">ABSTRACT </w:t>
      </w:r>
    </w:p>
    <w:p w:rsidR="00F27C23" w:rsidRPr="00B40EB2" w:rsidRDefault="0043358E" w:rsidP="00F27C23">
      <w:pPr>
        <w:pStyle w:val="TAMainText"/>
        <w:ind w:firstLine="0"/>
      </w:pPr>
      <w:r w:rsidRPr="00541955">
        <w:t xml:space="preserve">Antibody-antigen (Ab-Ag) recognition is the primary event at the basis of many biosensing platforms. In label-free biosensors these events occurring at solid-liquid interfaces are complex and often difficult to control technologically across the smallest length scales down to the molecular scale. Here a molecular-scale technique, </w:t>
      </w:r>
      <w:r w:rsidR="0051708D">
        <w:t xml:space="preserve">such as </w:t>
      </w:r>
      <w:r w:rsidRPr="00541955">
        <w:t>single m</w:t>
      </w:r>
      <w:r w:rsidR="00A006FF" w:rsidRPr="00541955">
        <w:t>olecule force spectroscopy</w:t>
      </w:r>
      <w:r w:rsidRPr="00541955">
        <w:t xml:space="preserve">, is performed across areas of a real electrode functionalized for the immuno-detection of an inflammatory cytokine, </w:t>
      </w:r>
      <w:r w:rsidRPr="00541955">
        <w:rPr>
          <w:i/>
        </w:rPr>
        <w:t>viz.</w:t>
      </w:r>
      <w:r w:rsidRPr="00541955">
        <w:t xml:space="preserve"> interleukin-4 (IL-4). The statistical analysis of force-distance curves allows us to quantify the probability, the characteristic length-scales, the adhesion energy and the timescales of specific recognition. These results enable us to rationalize the response of an electrolyte-gated organic field-effect transistor (EGOFET) operated </w:t>
      </w:r>
      <w:r w:rsidR="00473AA9" w:rsidRPr="00541955">
        <w:t>as an IL-4 immuno-</w:t>
      </w:r>
      <w:r w:rsidRPr="00541955">
        <w:t xml:space="preserve">sensor. </w:t>
      </w:r>
      <w:r w:rsidR="00473AA9" w:rsidRPr="00541955">
        <w:t>Two d</w:t>
      </w:r>
      <w:r w:rsidRPr="00541955">
        <w:t>ifferent strategies for the immobilization of IL-4 antibodies on the Au gate electrode have been compared: antibodies are bound to i) a smooth film of His-tagged Protein G (PG)</w:t>
      </w:r>
      <w:r w:rsidR="00A006FF" w:rsidRPr="00541955">
        <w:t>/Au; ii) a 6-aminohexanethiol</w:t>
      </w:r>
      <w:r w:rsidR="00683259">
        <w:t xml:space="preserve"> (HSC6NH2)</w:t>
      </w:r>
      <w:r w:rsidR="00A006FF" w:rsidRPr="00541955">
        <w:t xml:space="preserve"> self-assembled monolayer</w:t>
      </w:r>
      <w:r w:rsidRPr="00541955">
        <w:t xml:space="preserve"> on Au through glutaraldehyde. The most sensitive EGOFET (concentration minimum detection level</w:t>
      </w:r>
      <w:r w:rsidR="0051708D" w:rsidRPr="0051708D">
        <w:t xml:space="preserve"> </w:t>
      </w:r>
      <w:r w:rsidR="0051708D" w:rsidRPr="00541955">
        <w:t>down to 5nM</w:t>
      </w:r>
      <w:r w:rsidR="0051708D">
        <w:t xml:space="preserve"> of IL-4</w:t>
      </w:r>
      <w:r w:rsidRPr="00541955">
        <w:t xml:space="preserve">) is obtained with the first functionalization strategy. This result is correlated to the highest probability (30%) of specific binding events detected by </w:t>
      </w:r>
      <w:r w:rsidR="00A006FF" w:rsidRPr="00541955">
        <w:t>force spectroscopy</w:t>
      </w:r>
      <w:r w:rsidRPr="00541955">
        <w:t xml:space="preserve"> on Ab/PG/Au electrodes, compared to 10% probability on electrodes with the second functionalization. Specifically, this demonstrates that Ab/PG/Au yields the largest areal density of oriented antibodies available for recognition. More in general, this work shows that specific recognition events in multi-scale biosensors can be assessed, quantified, and optimized by means of a nanoscale technique.</w:t>
      </w:r>
    </w:p>
    <w:p w:rsidR="008B1960" w:rsidRDefault="00B770BD" w:rsidP="0048461B">
      <w:pPr>
        <w:suppressAutoHyphens w:val="0"/>
        <w:spacing w:after="0" w:line="480" w:lineRule="auto"/>
        <w:jc w:val="left"/>
      </w:pPr>
      <w:r w:rsidRPr="00B40EB2">
        <w:br w:type="page"/>
      </w:r>
    </w:p>
    <w:p w:rsidR="0043358E" w:rsidRPr="00227A92" w:rsidRDefault="0043358E" w:rsidP="0043358E">
      <w:pPr>
        <w:suppressAutoHyphens w:val="0"/>
        <w:spacing w:after="0" w:line="480" w:lineRule="auto"/>
        <w:jc w:val="left"/>
        <w:rPr>
          <w:color w:val="auto"/>
        </w:rPr>
      </w:pPr>
      <w:r w:rsidRPr="00227A92">
        <w:rPr>
          <w:color w:val="auto"/>
        </w:rPr>
        <w:lastRenderedPageBreak/>
        <w:t>Immunosensing exploits one of nature’s most optimized molecular recognition mechanisms, namely the interaction between an antigen (Ag) and its specific antibody (Ab).</w:t>
      </w:r>
      <w:r w:rsidR="00B43940" w:rsidRPr="00541955">
        <w:rPr>
          <w:color w:val="auto"/>
        </w:rPr>
        <w:fldChar w:fldCharType="begin" w:fldLock="1"/>
      </w:r>
      <w:r w:rsidRPr="00541955">
        <w:rPr>
          <w:color w:val="auto"/>
        </w:rPr>
        <w:instrText>ADDIN CSL_CITATION { "citationItems" : [ { "id" : "ITEM-1", "itemData" : { "author" : [ { "dropping-particle" : "", "family" : "Mariuzza", "given" : "R A", "non-dropping-particle" : "", "parse-names" : false, "suffix" : "" }, { "dropping-particle" : "", "family" : "Immunologie", "given" : "Departement", "non-dropping-particle" : "", "parse-names" : false, "suffix" : "" }, { "dropping-particle" : "", "family" : "Pasteur", "given" : "Institut", "non-dropping-particle" : "", "parse-names" : false, "suffix" : "" }, { "dropping-particle" : "", "family" : "Cedex", "given" : "Paris", "non-dropping-particle" : "", "parse-names" : false, "suffix" : "" } ], "container-title" : "Annual review of biophysics and biophysical chemistry", "id" : "ITEM-1", "issued" : { "date-parts" : [ [ "1987" ] ] }, "page" : "139-159", "title" : "THE STRUCTURAL BASIS OF ANTIGEN-ANTIBODY RECOGNITION", "type" : "article-journal", "volume" : "16" }, "uris" : [ "http://www.mendeley.com/documents/?uuid=c23055ad-d4d0-45b3-b8bb-8fd2966a9063" ] } ], "mendeley" : { "formattedCitation" : "&lt;sup&gt;1&lt;/sup&gt;", "plainTextFormattedCitation" : "1", "previouslyFormattedCitation" : "&lt;sup&gt;1&lt;/sup&gt;" }, "properties" : { "noteIndex" : 0 }, "schema" : "https://github.com/citation-style-language/schema/raw/master/csl-citation.json" }</w:instrText>
      </w:r>
      <w:r w:rsidR="00B43940" w:rsidRPr="00541955">
        <w:rPr>
          <w:color w:val="auto"/>
        </w:rPr>
        <w:fldChar w:fldCharType="separate"/>
      </w:r>
      <w:r w:rsidRPr="00541955">
        <w:rPr>
          <w:noProof/>
          <w:color w:val="auto"/>
          <w:vertAlign w:val="superscript"/>
        </w:rPr>
        <w:t>1</w:t>
      </w:r>
      <w:r w:rsidR="00B43940" w:rsidRPr="00541955">
        <w:rPr>
          <w:color w:val="auto"/>
        </w:rPr>
        <w:fldChar w:fldCharType="end"/>
      </w:r>
      <w:r w:rsidRPr="00227A92">
        <w:rPr>
          <w:color w:val="auto"/>
        </w:rPr>
        <w:t xml:space="preserve"> The large binding constant is exploited in Enzyme-Linked ImmunoSorbent Assay (ELISA) to detect the presence of biomarkers in bodily fluids whose concentration can be below picomolar level.</w:t>
      </w:r>
      <w:r w:rsidR="00B43940" w:rsidRPr="00541955">
        <w:rPr>
          <w:color w:val="auto"/>
        </w:rPr>
        <w:fldChar w:fldCharType="begin" w:fldLock="1"/>
      </w:r>
      <w:r w:rsidRPr="00541955">
        <w:rPr>
          <w:color w:val="auto"/>
        </w:rPr>
        <w:instrText>ADDIN CSL_CITATION { "citationItems" : [ { "id" : "ITEM-1", "itemData" : { "author" : [ { "dropping-particle" : "", "family" : "BK", "given" : "Van Weemen", "non-dropping-particle" : "", "parse-names" : false, "suffix" : "" }, { "dropping-particle" : "", "family" : "A.H.W.N.", "given" : "Schuurs", "non-dropping-particle" : "", "parse-names" : false, "suffix" : "" } ], "container-title" : "FEBS letters", "id" : "ITEM-1", "issue" : "3", "issued" : { "date-parts" : [ [ "1971" ] ] }, "page" : "232-236", "title" : "Immunoassay using antigen-enzyme conjugates", "type" : "article-journal", "volume" : "15" }, "uris" : [ "http://www.mendeley.com/documents/?uuid=b152eed2-e9c1-43e1-8fe0-dbe92640a0b5" ] } ], "mendeley" : { "formattedCitation" : "&lt;sup&gt;2&lt;/sup&gt;", "plainTextFormattedCitation" : "2", "previouslyFormattedCitation" : "&lt;sup&gt;2&lt;/sup&gt;" }, "properties" : { "noteIndex" : 0 }, "schema" : "https://github.com/citation-style-language/schema/raw/master/csl-citation.json" }</w:instrText>
      </w:r>
      <w:r w:rsidR="00B43940" w:rsidRPr="00541955">
        <w:rPr>
          <w:color w:val="auto"/>
        </w:rPr>
        <w:fldChar w:fldCharType="separate"/>
      </w:r>
      <w:r w:rsidRPr="00541955">
        <w:rPr>
          <w:noProof/>
          <w:color w:val="auto"/>
          <w:vertAlign w:val="superscript"/>
        </w:rPr>
        <w:t>2</w:t>
      </w:r>
      <w:r w:rsidR="00B43940" w:rsidRPr="00541955">
        <w:rPr>
          <w:color w:val="auto"/>
        </w:rPr>
        <w:fldChar w:fldCharType="end"/>
      </w:r>
      <w:r w:rsidRPr="00227A92">
        <w:rPr>
          <w:color w:val="auto"/>
        </w:rPr>
        <w:t xml:space="preserve"> </w:t>
      </w:r>
    </w:p>
    <w:p w:rsidR="0043358E" w:rsidRPr="00227A92" w:rsidRDefault="0043358E" w:rsidP="0043358E">
      <w:pPr>
        <w:suppressAutoHyphens w:val="0"/>
        <w:spacing w:after="0" w:line="480" w:lineRule="auto"/>
        <w:ind w:firstLine="202"/>
        <w:jc w:val="left"/>
      </w:pPr>
      <w:r w:rsidRPr="00227A92">
        <w:t xml:space="preserve">Detecting Ab-Ag interactions with a label-free sensing scheme requires the integration of bio-recognition moieties at a solid-liquid interface and their coupling with the transducer. The </w:t>
      </w:r>
      <w:r w:rsidRPr="00227A92">
        <w:rPr>
          <w:color w:val="auto"/>
        </w:rPr>
        <w:t>transduction of the molecular binding event should occur with minimum, if not any, further chemical amplification or development steps.</w:t>
      </w:r>
      <w:r w:rsidR="00B43940" w:rsidRPr="00541955">
        <w:rPr>
          <w:color w:val="auto"/>
        </w:rPr>
        <w:fldChar w:fldCharType="begin" w:fldLock="1"/>
      </w:r>
      <w:r w:rsidRPr="00541955">
        <w:rPr>
          <w:color w:val="auto"/>
        </w:rPr>
        <w:instrText>ADDIN CSL_CITATION { "citationItems" : [ { "id" : "ITEM-1", "itemData" : { "DOI" : "10.1016/j.bios.2004.09.037", "ISSN" : "0956-5663", "PMID" : "16337371", "abstract" : "This article is an overview the state of the art and the recent developments in immunosensors. Homogeneous immunosensors, heterogeneous immunosensors, integrated immunosensors and biochip format immunosensors are presented, based on optical, electrochemical, magnetic or mechanical detection/transduction systems.", "author" : [ { "dropping-particle" : "", "family" : "Marquette", "given" : "Christophe a", "non-dropping-particle" : "", "parse-names" : false, "suffix" : "" }, { "dropping-particle" : "", "family" : "Blum", "given" : "Lo\u00efc J", "non-dropping-particle" : "", "parse-names" : false, "suffix" : "" } ], "container-title" : "Biosensors &amp; bioelectronics", "id" : "ITEM-1", "issue" : "8", "issued" : { "date-parts" : [ [ "2006", "2", "15" ] ] }, "page" : "1424-1433", "title" : "State of the art and recent advances in immunoanalytical systems.", "type" : "article-journal", "volume" : "21" }, "uris" : [ "http://www.mendeley.com/documents/?uuid=64f2a17a-4071-4cc0-8322-bbc9c9bd87c3" ] } ], "mendeley" : { "formattedCitation" : "&lt;sup&gt;3&lt;/sup&gt;", "plainTextFormattedCitation" : "3", "previouslyFormattedCitation" : "&lt;sup&gt;3&lt;/sup&gt;" }, "properties" : { "noteIndex" : 0 }, "schema" : "https://github.com/citation-style-language/schema/raw/master/csl-citation.json" }</w:instrText>
      </w:r>
      <w:r w:rsidR="00B43940" w:rsidRPr="00541955">
        <w:rPr>
          <w:color w:val="auto"/>
        </w:rPr>
        <w:fldChar w:fldCharType="separate"/>
      </w:r>
      <w:r w:rsidRPr="00541955">
        <w:rPr>
          <w:noProof/>
          <w:color w:val="auto"/>
          <w:vertAlign w:val="superscript"/>
        </w:rPr>
        <w:t>3</w:t>
      </w:r>
      <w:r w:rsidR="00B43940" w:rsidRPr="00541955">
        <w:rPr>
          <w:color w:val="auto"/>
        </w:rPr>
        <w:fldChar w:fldCharType="end"/>
      </w:r>
      <w:r w:rsidRPr="00227A92">
        <w:rPr>
          <w:color w:val="auto"/>
        </w:rPr>
        <w:t xml:space="preserve"> This is particularly relevant for point-of-care applications and in-field deployed sensors. Sensitivity and specificity both depend on how the bio-recognition groups are made available to the target</w:t>
      </w:r>
      <w:r>
        <w:rPr>
          <w:color w:val="auto"/>
        </w:rPr>
        <w:t>,</w:t>
      </w:r>
      <w:r w:rsidRPr="00227A92">
        <w:rPr>
          <w:color w:val="auto"/>
        </w:rPr>
        <w:t xml:space="preserve"> and on the coupling between environment and transducer</w:t>
      </w:r>
      <w:r>
        <w:rPr>
          <w:color w:val="auto"/>
        </w:rPr>
        <w:t>.</w:t>
      </w:r>
    </w:p>
    <w:p w:rsidR="0043358E" w:rsidRPr="00227A92" w:rsidRDefault="0043358E" w:rsidP="0043358E">
      <w:pPr>
        <w:pStyle w:val="TAMainText"/>
        <w:spacing w:after="240"/>
        <w:jc w:val="left"/>
        <w:rPr>
          <w:color w:val="auto"/>
        </w:rPr>
      </w:pPr>
      <w:r w:rsidRPr="00227A92">
        <w:rPr>
          <w:color w:val="auto"/>
        </w:rPr>
        <w:t>Among label-free immunosensors, mechanical and electronic transductions have been demonstrated.</w:t>
      </w:r>
      <w:r w:rsidR="00B43940" w:rsidRPr="00541955">
        <w:rPr>
          <w:color w:val="auto"/>
        </w:rPr>
        <w:fldChar w:fldCharType="begin" w:fldLock="1"/>
      </w:r>
      <w:r w:rsidRPr="00541955">
        <w:rPr>
          <w:color w:val="auto"/>
        </w:rPr>
        <w:instrText>ADDIN CSL_CITATION { "citationItems" : [ { "id" : "ITEM-1", "itemData" : { "DOI" : "10.1016/S0003-2670(97)00167-0", "ISSN" : "00032670", "author" : [ { "dropping-particle" : "", "family" : "Hock", "given" : "Bertold", "non-dropping-particle" : "", "parse-names" : false, "suffix" : "" } ], "container-title" : "Analytica Chimica Acta", "id" : "ITEM-1", "issue" : "1-2", "issued" : { "date-parts" : [ [ "1997", "7" ] ] }, "page" : "177-186", "title" : "Antibodies for immunosensors a review", "type" : "article-journal", "volume" : "347" }, "uris" : [ "http://www.mendeley.com/documents/?uuid=1343cb08-a8c2-4186-9191-b30c6cc24985" ] }, { "id" : "ITEM-2", "itemData" : { "DOI" : "10.1016/j.bios.2006.06.030", "ISSN" : "0956-5663", "PMID" : "16884900", "abstract" : "This paper presents discussion of quartz crystal microbalance (QCM) immunosensors for environmental monitoring. Factors limiting the practical application of antibodies to analytical problems are also presented. Among several candidates for the QCM immunosensor device, selected QCM devices and oscillating circuits were tested thoroughly and developed to obtain highly stable and sensitive frequency signals. The biointerface of QCM immunosensor was designed and controlled to immobilize antibody on the QCM surface, to reduce non-specific binding and to suppress denaturation of immobilizing antibody by self-assembled monolayer technique and artificial phospholipid (2-methacryloyloxyethyl phosphorylcholine (MPC)) polymer. MPC polymer as a antibody-stabilizing reagent was added to reduce non-specific binding of the antigen solution and stabilize the immunologic activity of the antibody-immobilized QCM. In addition, it provides examples for detection and quantitation of environmental samples using QCM immunosensors. The analytical results for fly ash extracted samples of dioxins using the QCM immunosensor indicated a good relationship with GC/MS methods. The integrating protocols of the competitive immunoassay and signal-enhancing step are for detecting low molecular analytes with extremely low detection limits using an QCM immunosensor. Furthermore, its detect limitation was extended from 0.1 to 0.01 ng/ml by the signal-enhancing step when the anti-bisphenol-A antibody conjugated MPC polymeric nanoparticles was used. The QCM immunosensor method has demonstrated its effectiveness as an alternative screening method for environmental monitoring because these results were compared with results obtained through environmental monitoring methods such as ELISA and GC/MS.", "author" : [ { "dropping-particle" : "", "family" : "Kurosawa", "given" : "Shigeru", "non-dropping-particle" : "", "parse-names" : false, "suffix" : "" }, { "dropping-particle" : "", "family" : "Park", "given" : "Jong-Won", "non-dropping-particle" : "", "parse-names" : false, "suffix" : "" }, { "dropping-particle" : "", "family" : "Aizawa", "given" : "Hidenobu", "non-dropping-particle" : "", "parse-names" : false, "suffix" : "" }, { "dropping-particle" : "", "family" : "Wakida", "given" : "Shin-Ichi", "non-dropping-particle" : "", "parse-names" : false, "suffix" : "" }, { "dropping-particle" : "", "family" : "Tao", "given" : "Hiroaki", "non-dropping-particle" : "", "parse-names" : false, "suffix" : "" }, { "dropping-particle" : "", "family" : "Ishihara", "given" : "Kazuhiko", "non-dropping-particle" : "", "parse-names" : false, "suffix" : "" } ], "container-title" : "Biosensors &amp; bioelectronics", "id" : "ITEM-2", "issue" : "4", "issued" : { "date-parts" : [ [ "2006", "10", "15" ] ] }, "page" : "473-481", "title" : "Quartz crystal microbalance immunosensors for environmental monitoring.", "type" : "article-journal", "volume" : "22" }, "uris" : [ "http://www.mendeley.com/documents/?uuid=07c7e812-eba2-43fc-966f-5541454c384a" ] }, { "id" : "ITEM-3", "itemData" : { "author" : [ { "dropping-particle" : "", "family" : "Butt", "given" : "\u00c8", "non-dropping-particle" : "", "parse-names" : false, "suffix" : "" }, { "dropping-particle" : "", "family" : "Skla", "given" : "Petr", "non-dropping-particle" : "", "parse-names" : false, "suffix" : "" }, { "dropping-particle" : "", "family" : "Raiteri", "given" : "Roberto", "non-dropping-particle" : "", "parse-names" : false, "suffix" : "" }, { "dropping-particle" : "", "family" : "Grattarola", "given" : "Massimo", "non-dropping-particle" : "", "parse-names" : false, "suffix" : "" } ], "container-title" : "Sensors and actuators", "id" : "ITEM-3", "issued" : { "date-parts" : [ [ "2001" ] ] }, "page" : "115-126", "title" : "Micromechanical cantilever-based biosensors", "type" : "article-journal", "volume" : "79" }, "uris" : [ "http://www.mendeley.com/documents/?uuid=b9af6521-e2e5-444e-afe3-ae98ef97b9e3" ] }, { "id" : "ITEM-4", "itemData" : { "author" : [ { "dropping-particle" : "", "family" : "Guilbault", "given" : "George G", "non-dropping-particle" : "", "parse-names" : false, "suffix" : "" }, { "dropping-particle" : "", "family" : "Amia", "given" : "F", "non-dropping-particle" : "", "parse-names" : false, "suffix" : "" } ], "container-title" : "Analyst", "id" : "ITEM-4", "issued" : { "date-parts" : [ [ "1994" ] ] }, "page" : "2279-2282", "title" : "Recent Developments in Piezoelectric Immunosensors* A Review", "type" : "article-journal", "volume" : "11" }, "uris" : [ "http://www.mendeley.com/documents/?uuid=4c85aa05-8532-429f-b93d-e9add4c6e2be" ] }, { "id" : "ITEM-5", "itemData" : { "DOI" : "10.1080/02726340801921650", "ISSN" : "0272-6343", "author" : [ { "dropping-particle" : "", "family" : "Abdulhalim", "given" : "Ibrahim", "non-dropping-particle" : "", "parse-names" : false, "suffix" : "" }, { "dropping-particle" : "", "family" : "Zourob", "given" : "Mohammad", "non-dropping-particle" : "", "parse-names" : false, "suffix" : "" }, { "dropping-particle" : "", "family" : "Lakhtakia", "given" : "Akhlesh", "non-dropping-particle" : "", "parse-names" : false, "suffix" : "" } ], "container-title" : "Electromagnetics", "id" : "ITEM-5", "issue" : "3", "issued" : { "date-parts" : [ [ "2008", "3", "14" ] ] }, "page" : "214-242", "title" : "Surface Plasmon Resonance for Biosensing: A Mini-Review", "type" : "article-journal", "volume" : "28" }, "uris" : [ "http://www.mendeley.com/documents/?uuid=7e437d8d-5b76-4dd9-b85a-a1bce631da7f" ] } ], "mendeley" : { "formattedCitation" : "&lt;sup&gt;4\u20138&lt;/sup&gt;", "plainTextFormattedCitation" : "4\u20138", "previouslyFormattedCitation" : "&lt;sup&gt;4\u20138&lt;/sup&gt;" }, "properties" : { "noteIndex" : 0 }, "schema" : "https://github.com/citation-style-language/schema/raw/master/csl-citation.json" }</w:instrText>
      </w:r>
      <w:r w:rsidR="00B43940" w:rsidRPr="00541955">
        <w:rPr>
          <w:color w:val="auto"/>
        </w:rPr>
        <w:fldChar w:fldCharType="separate"/>
      </w:r>
      <w:r w:rsidRPr="00541955">
        <w:rPr>
          <w:noProof/>
          <w:color w:val="auto"/>
          <w:vertAlign w:val="superscript"/>
        </w:rPr>
        <w:t>4–8</w:t>
      </w:r>
      <w:r w:rsidR="00B43940" w:rsidRPr="00541955">
        <w:rPr>
          <w:color w:val="auto"/>
        </w:rPr>
        <w:fldChar w:fldCharType="end"/>
      </w:r>
      <w:r w:rsidRPr="00227A92">
        <w:rPr>
          <w:color w:val="auto"/>
        </w:rPr>
        <w:t xml:space="preserve"> In the case of an electronic sensor, several phenomena </w:t>
      </w:r>
      <w:r w:rsidRPr="00227A92">
        <w:t xml:space="preserve">induced by the bio-recognition event </w:t>
      </w:r>
      <w:r w:rsidRPr="00227A92">
        <w:rPr>
          <w:color w:val="auto"/>
        </w:rPr>
        <w:t>might be exploited: local changes of electrostatic potential,</w:t>
      </w:r>
      <w:r w:rsidR="00B43940" w:rsidRPr="00541955">
        <w:rPr>
          <w:color w:val="auto"/>
        </w:rPr>
        <w:fldChar w:fldCharType="begin" w:fldLock="1"/>
      </w:r>
      <w:r w:rsidRPr="00541955">
        <w:rPr>
          <w:color w:val="auto"/>
        </w:rPr>
        <w:instrText>ADDIN CSL_CITATION { "citationItems" : [ { "id" : "ITEM-1", "itemData" : { "DOI" : "10.3390/s90907111", "ISSN" : "1424-8220", "author" : [ { "dropping-particle" : "", "family" : "Lee", "given" : "Chang-Soo", "non-dropping-particle" : "", "parse-names" : false, "suffix" : "" }, { "dropping-particle" : "", "family" : "Kim", "given" : "Sang Kyu", "non-dropping-particle" : "", "parse-names" : false, "suffix" : "" }, { "dropping-particle" : "", "family" : "Kim", "given" : "Moonil", "non-dropping-particle" : "", "parse-names" : false, "suffix" : "" } ], "container-title" : "Sensors", "id" : "ITEM-1", "issue" : "9", "issued" : { "date-parts" : [ [ "2009", "9" ] ] }, "page" : "7111-7131", "title" : "Ion-Sensitive Field-Effect Transistor for Biological Sensing", "type" : "article-journal", "volume" : "9" }, "uris" : [ "http://www.mendeley.com/documents/?uuid=a3216c96-92ec-4392-a60d-8429d4b20a80" ] } ], "mendeley" : { "formattedCitation" : "&lt;sup&gt;9&lt;/sup&gt;", "plainTextFormattedCitation" : "9", "previouslyFormattedCitation" : "&lt;sup&gt;9&lt;/sup&gt;" }, "properties" : { "noteIndex" : 0 }, "schema" : "https://github.com/citation-style-language/schema/raw/master/csl-citation.json" }</w:instrText>
      </w:r>
      <w:r w:rsidR="00B43940" w:rsidRPr="00541955">
        <w:rPr>
          <w:color w:val="auto"/>
        </w:rPr>
        <w:fldChar w:fldCharType="separate"/>
      </w:r>
      <w:r w:rsidRPr="00541955">
        <w:rPr>
          <w:noProof/>
          <w:color w:val="auto"/>
          <w:vertAlign w:val="superscript"/>
        </w:rPr>
        <w:t>9</w:t>
      </w:r>
      <w:r w:rsidR="00B43940" w:rsidRPr="00541955">
        <w:rPr>
          <w:color w:val="auto"/>
        </w:rPr>
        <w:fldChar w:fldCharType="end"/>
      </w:r>
      <w:r w:rsidRPr="00227A92">
        <w:rPr>
          <w:color w:val="auto"/>
        </w:rPr>
        <w:t xml:space="preserve"> density</w:t>
      </w:r>
      <w:r w:rsidRPr="00227A92">
        <w:t xml:space="preserve"> of charge carriers, conductivity,</w:t>
      </w:r>
      <w:r w:rsidR="00B43940" w:rsidRPr="00541955">
        <w:fldChar w:fldCharType="begin" w:fldLock="1"/>
      </w:r>
      <w:r w:rsidRPr="00541955">
        <w:instrText>ADDIN CSL_CITATION { "citationItems" : [ { "id" : "ITEM-1", "itemData" : { "DOI" : "10.1002/elan.200603535", "ISSN" : "1040-0397", "author" : [ { "dropping-particle" : "", "family" : "Liang", "given" : "Kezhong", "non-dropping-particle" : "", "parse-names" : false, "suffix" : "" }, { "dropping-particle" : "", "family" : "Mu", "given" : "Weijun", "non-dropping-particle" : "", "parse-names" : false, "suffix" : "" }, { "dropping-particle" : "", "family" : "Huang", "given" : "Meiying", "non-dropping-particle" : "", "parse-names" : false, "suffix" : "" }, { "dropping-particle" : "", "family" : "Yu", "given" : "Zhongxue", "non-dropping-particle" : "", "parse-names" : false, "suffix" : "" }, { "dropping-particle" : "", "family" : "Lai", "given" : "Qingke", "non-dropping-particle" : "", "parse-names" : false, "suffix" : "" } ], "container-title" : "Electroanalysis", "id" : "ITEM-1", "issue" : "15", "issued" : { "date-parts" : [ [ "2006", "8" ] ] }, "page" : "1505-1510", "title" : "Interdigitated Conductometric Immunosensor for Determination of Interleukin-6 in Humans Based on Dendrimer G4 and Colloidal Gold Modified Composite Film", "type" : "article-journal", "volume" : "18" }, "uris" : [ "http://www.mendeley.com/documents/?uuid=41f0413a-29d9-4441-99cf-15aaad8c43f2" ] } ], "mendeley" : { "formattedCitation" : "&lt;sup&gt;10&lt;/sup&gt;", "plainTextFormattedCitation" : "10", "previouslyFormattedCitation" : "&lt;sup&gt;10&lt;/sup&gt;" }, "properties" : { "noteIndex" : 0 }, "schema" : "https://github.com/citation-style-language/schema/raw/master/csl-citation.json" }</w:instrText>
      </w:r>
      <w:r w:rsidR="00B43940" w:rsidRPr="00541955">
        <w:fldChar w:fldCharType="separate"/>
      </w:r>
      <w:r w:rsidRPr="00541955">
        <w:rPr>
          <w:noProof/>
          <w:vertAlign w:val="superscript"/>
        </w:rPr>
        <w:t>10</w:t>
      </w:r>
      <w:r w:rsidR="00B43940" w:rsidRPr="00541955">
        <w:fldChar w:fldCharType="end"/>
      </w:r>
      <w:r w:rsidRPr="00227A92">
        <w:t xml:space="preserve"> impedance,</w:t>
      </w:r>
      <w:r w:rsidR="00B43940" w:rsidRPr="00541955">
        <w:fldChar w:fldCharType="begin" w:fldLock="1"/>
      </w:r>
      <w:r w:rsidRPr="00541955">
        <w:instrText>ADDIN CSL_CITATION { "citationItems" : [ { "id" : "ITEM-1", "itemData" : { "author" : [ { "dropping-particle" : "", "family" : "Yang", "given" : "Liju", "non-dropping-particle" : "", "parse-names" : false, "suffix" : "" }, { "dropping-particle" : "", "family" : "Li", "given" : "Yanbin", "non-dropping-particle" : "", "parse-names" : false, "suffix" : "" }, { "dropping-particle" : "", "family" : "Erf", "given" : "Gisela F", "non-dropping-particle" : "", "parse-names" : false, "suffix" : "" } ], "container-title" : "Analytical Chemistry", "id" : "ITEM-1", "issue" : "4", "issued" : { "date-parts" : [ [ "2004" ] ] }, "page" : "1107-1113", "title" : "Interdigitated Array Microelectrode-Based Electrochemical Impedance Immunosensor for Detection of Escherichia coli O157 : H7", "type" : "article-journal", "volume" : "76" }, "uris" : [ "http://www.mendeley.com/documents/?uuid=d14a6f1a-6384-4f63-865c-515363522541" ] } ], "mendeley" : { "formattedCitation" : "&lt;sup&gt;11&lt;/sup&gt;", "plainTextFormattedCitation" : "11", "previouslyFormattedCitation" : "&lt;sup&gt;11&lt;/sup&gt;" }, "properties" : { "noteIndex" : 0 }, "schema" : "https://github.com/citation-style-language/schema/raw/master/csl-citation.json" }</w:instrText>
      </w:r>
      <w:r w:rsidR="00B43940" w:rsidRPr="00541955">
        <w:fldChar w:fldCharType="separate"/>
      </w:r>
      <w:r w:rsidRPr="00541955">
        <w:rPr>
          <w:noProof/>
          <w:vertAlign w:val="superscript"/>
        </w:rPr>
        <w:t>11</w:t>
      </w:r>
      <w:r w:rsidR="00B43940" w:rsidRPr="00541955">
        <w:fldChar w:fldCharType="end"/>
      </w:r>
      <w:r w:rsidRPr="00227A92">
        <w:t xml:space="preserve"> capacitance.</w:t>
      </w:r>
      <w:r w:rsidR="00B43940" w:rsidRPr="00541955">
        <w:fldChar w:fldCharType="begin" w:fldLock="1"/>
      </w:r>
      <w:r w:rsidRPr="00541955">
        <w:instrText>ADDIN CSL_CITATION { "citationItems" : [ { "id" : "ITEM-1", "itemData" : { "DOI" : "10.1016/j.snb.2005.08.039", "ISSN" : "09254005", "author" : [ { "dropping-particle" : "", "family" : "Hays", "given" : "Henry C.W.", "non-dropping-particle" : "", "parse-names" : false, "suffix" : "" }, { "dropping-particle" : "", "family" : "Millner", "given" : "Paul a.", "non-dropping-particle" : "", "parse-names" : false, "suffix" : "" }, { "dropping-particle" : "", "family" : "Prodromidis", "given" : "Mamas I.", "non-dropping-particle" : "", "parse-names" : false, "suffix" : "" } ], "container-title" : "Sensors and Actuators B: Chemical", "id" : "ITEM-1", "issue" : "2", "issued" : { "date-parts" : [ [ "2006", "4" ] ] }, "page" : "1064-1070", "title" : "Development of capacitance based immunosensors on mixed self-assembled monolayers", "type" : "article-journal", "volume" : "114" }, "uris" : [ "http://www.mendeley.com/documents/?uuid=0bef6923-33c9-4e00-be10-3e3daa71d1ea" ] } ], "mendeley" : { "formattedCitation" : "&lt;sup&gt;12&lt;/sup&gt;", "plainTextFormattedCitation" : "12", "previouslyFormattedCitation" : "&lt;sup&gt;12&lt;/sup&gt;" }, "properties" : { "noteIndex" : 0 }, "schema" : "https://github.com/citation-style-language/schema/raw/master/csl-citation.json" }</w:instrText>
      </w:r>
      <w:r w:rsidR="00B43940" w:rsidRPr="00541955">
        <w:fldChar w:fldCharType="separate"/>
      </w:r>
      <w:r w:rsidRPr="00541955">
        <w:rPr>
          <w:noProof/>
          <w:vertAlign w:val="superscript"/>
        </w:rPr>
        <w:t>12</w:t>
      </w:r>
      <w:r w:rsidR="00B43940" w:rsidRPr="00541955">
        <w:fldChar w:fldCharType="end"/>
      </w:r>
      <w:r w:rsidRPr="00227A92">
        <w:t xml:space="preserve"> </w:t>
      </w:r>
      <w:r w:rsidRPr="00227A92">
        <w:rPr>
          <w:color w:val="auto"/>
        </w:rPr>
        <w:t>Simplicity of instruments and low cost are factors that make electronic transduction favored for single-shot applications.</w:t>
      </w:r>
      <w:r w:rsidR="00B43940" w:rsidRPr="00541955">
        <w:rPr>
          <w:noProof/>
          <w:color w:val="auto"/>
        </w:rPr>
        <w:fldChar w:fldCharType="begin" w:fldLock="1"/>
      </w:r>
      <w:r w:rsidRPr="00541955">
        <w:rPr>
          <w:noProof/>
          <w:color w:val="auto"/>
        </w:rPr>
        <w:instrText>ADDIN CSL_CITATION { "citationItems" : [ { "id" : "ITEM-1", "itemData" : { "DOI" : "10.1016/j.bios.2013.02.045", "ISSN" : "1873-4235", "PMID" : "23542064", "abstract" : "Electrochemical immunosensors (EI) has attracted numerous interests due to its inherent benefits over the other transduction schemes, such as a high sensitivity, ease of use, a possible automation and integration in compact analytical devices, mostly cheap and relatively simple technology of its production. Thus, EIs have great potential in point of care (POC) diagnostics for early detection of diseases. During last decades, numerous efforts have been put into EIs development. Firstly, different fabrication methods and amplification strategies have been employed to achieve high sensitivity. To be pointed, nanotechnology has been involved in the fabrication and signal amplification of EIs, which present great superiority. Secondly, EI arrays have been used for multiparametric analysis. Thirdly, several attempts have been made to construct integrated systems, which showed promising applications for POC test. Several of them are commercially available for POC use. Herein, we will review briefly the recent achievements and progress in developing EIs towards POC diagnostics.", "author" : [ { "dropping-particle" : "", "family" : "Wan", "given" : "Ying", "non-dropping-particle" : "", "parse-names" : false, "suffix" : "" }, { "dropping-particle" : "", "family" : "Su", "given" : "Yan", "non-dropping-particle" : "", "parse-names" : false, "suffix" : "" }, { "dropping-particle" : "", "family" : "Zhu", "given" : "Xinhua", "non-dropping-particle" : "", "parse-names" : false, "suffix" : "" }, { "dropping-particle" : "", "family" : "Liu", "given" : "Gang", "non-dropping-particle" : "", "parse-names" : false, "suffix" : "" }, { "dropping-particle" : "", "family" : "Fan", "given" : "Chunhai", "non-dropping-particle" : "", "parse-names" : false, "suffix" : "" } ], "container-title" : "Biosensors &amp; bioelectronics", "id" : "ITEM-1", "issued" : { "date-parts" : [ [ "2013", "9", "15" ] ] }, "page" : "1-11", "publisher" : "Elsevier", "title" : "Development of electrochemical immunosensors towards point of care diagnostics.", "type" : "article-journal", "volume" : "47" }, "uris" : [ "http://www.mendeley.com/documents/?uuid=c55a435a-e1ea-438c-a454-267c45d5f23e" ] } ], "mendeley" : { "formattedCitation" : "&lt;sup&gt;13&lt;/sup&gt;", "plainTextFormattedCitation" : "13", "previouslyFormattedCitation" : "&lt;sup&gt;13&lt;/sup&gt;" }, "properties" : { "noteIndex" : 0 }, "schema" : "https://github.com/citation-style-language/schema/raw/master/csl-citation.json" }</w:instrText>
      </w:r>
      <w:r w:rsidR="00B43940" w:rsidRPr="00541955">
        <w:rPr>
          <w:noProof/>
          <w:color w:val="auto"/>
        </w:rPr>
        <w:fldChar w:fldCharType="separate"/>
      </w:r>
      <w:r w:rsidRPr="00541955">
        <w:rPr>
          <w:noProof/>
          <w:color w:val="auto"/>
          <w:vertAlign w:val="superscript"/>
        </w:rPr>
        <w:t>13</w:t>
      </w:r>
      <w:r w:rsidR="00B43940" w:rsidRPr="00541955">
        <w:rPr>
          <w:noProof/>
          <w:color w:val="auto"/>
        </w:rPr>
        <w:fldChar w:fldCharType="end"/>
      </w:r>
      <w:r w:rsidRPr="00227A92">
        <w:rPr>
          <w:color w:val="auto"/>
        </w:rPr>
        <w:t xml:space="preserve"> Device sensitivity is optimized by tuning the Debye length scale in fluids to the size of the specific binding pair</w:t>
      </w:r>
      <w:r>
        <w:rPr>
          <w:color w:val="auto"/>
        </w:rPr>
        <w:t xml:space="preserve"> by modulation of ionic strength</w:t>
      </w:r>
      <w:r w:rsidRPr="00227A92">
        <w:rPr>
          <w:color w:val="auto"/>
        </w:rPr>
        <w:t xml:space="preserve">. However </w:t>
      </w:r>
      <w:r>
        <w:rPr>
          <w:color w:val="auto"/>
        </w:rPr>
        <w:t>such</w:t>
      </w:r>
      <w:r w:rsidRPr="00227A92">
        <w:rPr>
          <w:color w:val="auto"/>
        </w:rPr>
        <w:t xml:space="preserve"> modulation is not always doable,</w:t>
      </w:r>
      <w:r w:rsidR="00B43940" w:rsidRPr="00541955">
        <w:rPr>
          <w:color w:val="auto"/>
        </w:rPr>
        <w:fldChar w:fldCharType="begin" w:fldLock="1"/>
      </w:r>
      <w:r w:rsidRPr="00541955">
        <w:rPr>
          <w:color w:val="auto"/>
        </w:rPr>
        <w:instrText>ADDIN CSL_CITATION { "citationItems" : [ { "id" : "ITEM-1", "itemData" : { "DOI" : "10.1098/rsta.2011.0503", "ISSN" : "1364-503X", "PMID" : "22509067", "abstract" : "Field-effect transistors (FETs) are solid-state electrical devices featuring current sources, current drains and semiconductor channels through which charge carriers migrate. FETs can be inexpensive, detect analyte without label, exhibit exponential responses to surface potential changes mediated by analyte binding, require limited sample preparation and operate in real time. ImmunoFETs for protein sensing deploy bioaffinity elements on their channels (antibodies), analyte binding to which modulates immunoFET electrical properties. Historically, immunoFETs were assessed infeasible owing to ion shielding in physiological environments. We demonstrate reliable immunoFET sensing of chemokines by relatively ion-impermeable III-nitride immunoHFETs (heterojunction FETs) in physiological buffers. Data show that the specificity of detection follows the specificity of the antibodies used as receptors, allowing us to discriminate between individual highly related protein species (human and murine CXCL9) as well as mixed samples of analytes (native and biotinylated CXCL9). These capabilities demonstrate that immunoHFETs can be feasible, contrary to classical FET-sensing assessment. FET protein sensors may lead to point-of-care diagnostics that are faster and cheaper than immunoassay in clinical, biotechnological and environmental applications.", "author" : [ { "dropping-particle" : "", "family" : "Casal", "given" : "Patricia", "non-dropping-particle" : "", "parse-names" : false, "suffix" : "" }, { "dropping-particle" : "", "family" : "Wen", "given" : "Xuejin", "non-dropping-particle" : "", "parse-names" : false, "suffix" : "" }, { "dropping-particle" : "", "family" : "Gupta", "given" : "Samit", "non-dropping-particle" : "", "parse-names" : false, "suffix" : "" }, { "dropping-particle" : "", "family" : "Nicholson", "given" : "Theodore", "non-dropping-particle" : "", "parse-names" : false, "suffix" : "" }, { "dropping-particle" : "", "family" : "Wang", "given" : "Yuji", "non-dropping-particle" : "", "parse-names" : false, "suffix" : "" }, { "dropping-particle" : "", "family" : "Theiss", "given" : "Andrew", "non-dropping-particle" : "", "parse-names" : false, "suffix" : "" }, { "dropping-particle" : "", "family" : "Bhushan", "given" : "Bharat", "non-dropping-particle" : "", "parse-names" : false, "suffix" : "" }, { "dropping-particle" : "", "family" : "Brillson", "given" : "Leonard", "non-dropping-particle" : "", "parse-names" : false, "suffix" : "" }, { "dropping-particle" : "", "family" : "Lu", "given" : "Wu", "non-dropping-particle" : "", "parse-names" : false, "suffix" : "" }, { "dropping-particle" : "", "family" : "Lee", "given" : "Stephen C", "non-dropping-particle" : "", "parse-names" : false, "suffix" : "" } ], "container-title" : "Philosophical transactions. Series A, Mathematical, physical, and engineering sciences", "id" : "ITEM-1", "issue" : "1967", "issued" : { "date-parts" : [ [ "2012", "5", "28" ] ] }, "page" : "2474-2488", "title" : "ImmunoFET feasibility in physiological salt environments.", "type" : "article-journal", "volume" : "370" }, "uris" : [ "http://www.mendeley.com/documents/?uuid=40b44d2e-25a8-4b2f-b129-c4491fe986c8" ] }, { "id" : "ITEM-2", "itemData" : { "DOI" : "10.1002/adma.201403541", "ISSN" : "09359648", "author" : [ { "dropping-particle" : "", "family" : "Palazzo", "given" : "Gerardo", "non-dropping-particle" : "", "parse-names" : false, "suffix" : "" }, { "dropping-particle" : "", "family" : "Tullio", "given" : "Donato", "non-dropping-particle" : "De", "parse-names" : false, "suffix" : "" }, { "dropping-particle" : "", "family" : "Magliulo", "given" : "Maria", "non-dropping-particle" : "", "parse-names" : false, "suffix" : "" }, { "dropping-particle" : "", "family" : "Mallardi", "given" : "Antonia", "non-dropping-particle" : "", "parse-names" : false, "suffix" : "" }, { "dropping-particle" : "", "family" : "Intranuovo", "given" : "Francesca", "non-dropping-particle" : "", "parse-names" : false, "suffix" : "" }, { "dropping-particle" : "", "family" : "Mulla", "given" : "Mohammad Yusuf", "non-dropping-particle" : "", "parse-names" : false, "suffix" : "" }, { "dropping-particle" : "", "family" : "Favia", "given" : "Pietro", "non-dropping-particle" : "", "parse-names" : false, "suffix" : "" }, { "dropping-particle" : "", "family" : "Vikholm-Lundin", "given" : "Inger", "non-dropping-particle" : "", "parse-names" : false, "suffix" : "" }, { "dropping-particle" : "", "family" : "Torsi", "given" : "Luisa", "non-dropping-particle" : "", "parse-names" : false, "suffix" : "" } ], "container-title" : "Advanced Materials", "id" : "ITEM-2", "issued" : { "date-parts" : [ [ "2014", "11", "6" ] ] }, "page" : "1-6", "title" : "Detection Beyond Debye's Length with an Electrolyte-Gated Organic Field-Effect Transistor", "type" : "article-journal" }, "uris" : [ "http://www.mendeley.com/documents/?uuid=0e89c0a3-30aa-412a-85da-08e3dbc65484" ] }, { "id" : "ITEM-3", "itemData" : { "DOI" : "10.1081/AL-120018234", "ISSN" : "0003-2719", "author" : [ { "dropping-particle" : "", "family" : "Sheehan", "given" : "a. Darmanin", "non-dropping-particle" : "", "parse-names" : false, "suffix" : "" }, { "dropping-particle" : "", "family" : "Quinn", "given" : "J.", "non-dropping-particle" : "", "parse-names" : false, "suffix" : "" }, { "dropping-particle" : "", "family" : "Daly", "given" : "S.", "non-dropping-particle" : "", "parse-names" : false, "suffix" : "" }, { "dropping-particle" : "", "family" : "Dillon", "given" : "P.", "non-dropping-particle" : "", "parse-names" : false, "suffix" : "" }, { "dropping-particle" : "", "family" : "O'Kennedy", "given" : "R.", "non-dropping-particle" : "", "parse-names" : false, "suffix" : "" } ], "container-title" : "Analytical Letters", "id" : "ITEM-3", "issue" : "3", "issued" : { "date-parts" : [ [ "2003", "1", "4" ] ] }, "page" : "511-537", "title" : "The Development of Novel Miniaturized Immuno-sensing Devices: A Review of a Small Technology with a Large Future", "type" : "article-journal", "volume" : "36" }, "uris" : [ "http://www.mendeley.com/documents/?uuid=d2a64caa-161b-43cd-b0a8-8b69da7b1260" ] } ], "mendeley" : { "formattedCitation" : "&lt;sup&gt;14\u201316&lt;/sup&gt;", "plainTextFormattedCitation" : "14\u201316", "previouslyFormattedCitation" : "&lt;sup&gt;14\u201316&lt;/sup&gt;" }, "properties" : { "noteIndex" : 0 }, "schema" : "https://github.com/citation-style-language/schema/raw/master/csl-citation.json" }</w:instrText>
      </w:r>
      <w:r w:rsidR="00B43940" w:rsidRPr="00541955">
        <w:rPr>
          <w:color w:val="auto"/>
        </w:rPr>
        <w:fldChar w:fldCharType="separate"/>
      </w:r>
      <w:r w:rsidRPr="00541955">
        <w:rPr>
          <w:noProof/>
          <w:color w:val="auto"/>
          <w:vertAlign w:val="superscript"/>
        </w:rPr>
        <w:t>14–16</w:t>
      </w:r>
      <w:r w:rsidR="00B43940" w:rsidRPr="00541955">
        <w:rPr>
          <w:color w:val="auto"/>
        </w:rPr>
        <w:fldChar w:fldCharType="end"/>
      </w:r>
      <w:r w:rsidRPr="00227A92">
        <w:rPr>
          <w:color w:val="auto"/>
        </w:rPr>
        <w:t xml:space="preserve"> especially in bodily fluids. </w:t>
      </w:r>
    </w:p>
    <w:p w:rsidR="0043358E" w:rsidRPr="00227A92" w:rsidRDefault="0043358E" w:rsidP="0043358E">
      <w:pPr>
        <w:pStyle w:val="TAMainText"/>
        <w:spacing w:after="240"/>
        <w:jc w:val="left"/>
        <w:rPr>
          <w:color w:val="auto"/>
        </w:rPr>
      </w:pPr>
      <w:r w:rsidRPr="00227A92">
        <w:t>Mechanical sensors, such as quartz crystal microbalance (QCM)</w:t>
      </w:r>
      <w:r w:rsidR="00B43940" w:rsidRPr="00227A92">
        <w:fldChar w:fldCharType="begin" w:fldLock="1"/>
      </w:r>
      <w:r w:rsidRPr="00227A92">
        <w:instrText>ADDIN CSL_CITATION { "citationItems" : [ { "id" : "ITEM-1", "itemData" : { "DOI" : "10.1016/j.bios.2006.06.030", "ISSN" : "0956-5663", "PMID" : "16884900", "abstract" : "This paper presents discussion of quartz crystal microbalance (QCM) immunosensors for environmental monitoring. Factors limiting the practical application of antibodies to analytical problems are also presented. Among several candidates for the QCM immunosensor device, selected QCM devices and oscillating circuits were tested thoroughly and developed to obtain highly stable and sensitive frequency signals. The biointerface of QCM immunosensor was designed and controlled to immobilize antibody on the QCM surface, to reduce non-specific binding and to suppress denaturation of immobilizing antibody by self-assembled monolayer technique and artificial phospholipid (2-methacryloyloxyethyl phosphorylcholine (MPC)) polymer. MPC polymer as a antibody-stabilizing reagent was added to reduce non-specific binding of the antigen solution and stabilize the immunologic activity of the antibody-immobilized QCM. In addition, it provides examples for detection and quantitation of environmental samples using QCM immunosensors. The analytical results for fly ash extracted samples of dioxins using the QCM immunosensor indicated a good relationship with GC/MS methods. The integrating protocols of the competitive immunoassay and signal-enhancing step are for detecting low molecular analytes with extremely low detection limits using an QCM immunosensor. Furthermore, its detect limitation was extended from 0.1 to 0.01 ng/ml by the signal-enhancing step when the anti-bisphenol-A antibody conjugated MPC polymeric nanoparticles was used. The QCM immunosensor method has demonstrated its effectiveness as an alternative screening method for environmental monitoring because these results were compared with results obtained through environmental monitoring methods such as ELISA and GC/MS.", "author" : [ { "dropping-particle" : "", "family" : "Kurosawa", "given" : "Shigeru", "non-dropping-particle" : "", "parse-names" : false, "suffix" : "" }, { "dropping-particle" : "", "family" : "Park", "given" : "Jong-Won", "non-dropping-particle" : "", "parse-names" : false, "suffix" : "" }, { "dropping-particle" : "", "family" : "Aizawa", "given" : "Hidenobu", "non-dropping-particle" : "", "parse-names" : false, "suffix" : "" }, { "dropping-particle" : "", "family" : "Wakida", "given" : "Shin-Ichi", "non-dropping-particle" : "", "parse-names" : false, "suffix" : "" }, { "dropping-particle" : "", "family" : "Tao", "given" : "Hiroaki", "non-dropping-particle" : "", "parse-names" : false, "suffix" : "" }, { "dropping-particle" : "", "family" : "Ishihara", "given" : "Kazuhiko", "non-dropping-particle" : "", "parse-names" : false, "suffix" : "" } ], "container-title" : "Biosensors &amp; bioelectronics", "id" : "ITEM-1", "issue" : "4", "issued" : { "date-parts" : [ [ "2006", "10", "15" ] ] }, "page" : "473-481", "title" : "Quartz crystal microbalance immunosensors for environmental monitoring.", "type" : "article-journal", "volume" : "22" }, "uris" : [ "http://www.mendeley.com/documents/?uuid=07c7e812-eba2-43fc-966f-5541454c384a" ] } ], "mendeley" : { "formattedCitation" : "&lt;sup&gt;5&lt;/sup&gt;", "plainTextFormattedCitation" : "5", "previouslyFormattedCitation" : "&lt;sup&gt;5&lt;/sup&gt;" }, "properties" : { "noteIndex" : 0 }, "schema" : "https://github.com/citation-style-language/schema/raw/master/csl-citation.json" }</w:instrText>
      </w:r>
      <w:r w:rsidR="00B43940" w:rsidRPr="00227A92">
        <w:fldChar w:fldCharType="separate"/>
      </w:r>
      <w:r w:rsidRPr="00227A92">
        <w:rPr>
          <w:noProof/>
          <w:vertAlign w:val="superscript"/>
        </w:rPr>
        <w:t>5</w:t>
      </w:r>
      <w:r w:rsidR="00B43940" w:rsidRPr="00227A92">
        <w:fldChar w:fldCharType="end"/>
      </w:r>
      <w:r w:rsidRPr="00227A92">
        <w:t xml:space="preserve"> and cantilevers,</w:t>
      </w:r>
      <w:r w:rsidR="00B43940" w:rsidRPr="00541955">
        <w:fldChar w:fldCharType="begin" w:fldLock="1"/>
      </w:r>
      <w:r w:rsidRPr="00541955">
        <w:instrText>ADDIN CSL_CITATION { "citationItems" : [ { "id" : "ITEM-1", "itemData" : { "author" : [ { "dropping-particle" : "", "family" : "Butt", "given" : "\u00c8", "non-dropping-particle" : "", "parse-names" : false, "suffix" : "" }, { "dropping-particle" : "", "family" : "Skla", "given" : "Petr", "non-dropping-particle" : "", "parse-names" : false, "suffix" : "" }, { "dropping-particle" : "", "family" : "Raiteri", "given" : "Roberto", "non-dropping-particle" : "", "parse-names" : false, "suffix" : "" }, { "dropping-particle" : "", "family" : "Grattarola", "given" : "Massimo", "non-dropping-particle" : "", "parse-names" : false, "suffix" : "" } ], "container-title" : "Sensors and actuators", "id" : "ITEM-1", "issued" : { "date-parts" : [ [ "2001" ] ] }, "page" : "115-126", "title" : "Micromechanical cantilever-based biosensors", "type" : "article-journal", "volume" : "79" }, "uris" : [ "http://www.mendeley.com/documents/?uuid=b9af6521-e2e5-444e-afe3-ae98ef97b9e3" ] } ], "mendeley" : { "formattedCitation" : "&lt;sup&gt;6&lt;/sup&gt;", "plainTextFormattedCitation" : "6", "previouslyFormattedCitation" : "&lt;sup&gt;6&lt;/sup&gt;" }, "properties" : { "noteIndex" : 0 }, "schema" : "https://github.com/citation-style-language/schema/raw/master/csl-citation.json" }</w:instrText>
      </w:r>
      <w:r w:rsidR="00B43940" w:rsidRPr="00541955">
        <w:fldChar w:fldCharType="separate"/>
      </w:r>
      <w:r w:rsidRPr="00541955">
        <w:rPr>
          <w:noProof/>
          <w:vertAlign w:val="superscript"/>
        </w:rPr>
        <w:t>6</w:t>
      </w:r>
      <w:r w:rsidR="00B43940" w:rsidRPr="00541955">
        <w:fldChar w:fldCharType="end"/>
      </w:r>
      <w:r w:rsidRPr="00227A92">
        <w:t xml:space="preserve"> detect changes of mass, binding/unbinding forces and viscoelastic response. They are effective in those regimes where electronic sensing does not provide enough sensitivity. However the interpretation of the device output in terms of specific molecular interactions is not usually straightforward.</w:t>
      </w:r>
    </w:p>
    <w:p w:rsidR="0043358E" w:rsidRPr="00227A92" w:rsidRDefault="0043358E" w:rsidP="0043358E">
      <w:pPr>
        <w:pStyle w:val="TAMainText"/>
        <w:ind w:firstLine="720"/>
        <w:rPr>
          <w:color w:val="auto"/>
        </w:rPr>
      </w:pPr>
      <w:r w:rsidRPr="00227A92">
        <w:lastRenderedPageBreak/>
        <w:t>Quantification, reproducibility and standardization are open issues in label-free immunosensing. They require</w:t>
      </w:r>
      <w:r w:rsidRPr="00227A92">
        <w:rPr>
          <w:color w:val="auto"/>
        </w:rPr>
        <w:t xml:space="preserve"> multi-scale control from nanometer to hundreds of micrometers of the density, orientation and functionality of the recognition moieties on the sensing area of the device. </w:t>
      </w:r>
      <w:r w:rsidRPr="00227A92">
        <w:t>Open questions, that also represent technological challenges,</w:t>
      </w:r>
      <w:r w:rsidRPr="00227A92">
        <w:rPr>
          <w:color w:val="auto"/>
        </w:rPr>
        <w:t xml:space="preserve"> include: how to control the density of active Abs; what fraction of Abs gives rise to specific bio-recognition events; what is the detection limit of the device in terms of number of recognition events; how to make the device more effective, sensitive, and specific. </w:t>
      </w:r>
    </w:p>
    <w:p w:rsidR="0043358E" w:rsidRDefault="0043358E" w:rsidP="0043358E">
      <w:pPr>
        <w:pStyle w:val="TAMainText"/>
        <w:ind w:left="202" w:firstLine="518"/>
        <w:rPr>
          <w:color w:val="auto"/>
        </w:rPr>
      </w:pPr>
      <w:r w:rsidRPr="00227A92">
        <w:rPr>
          <w:color w:val="auto"/>
        </w:rPr>
        <w:t xml:space="preserve">In this </w:t>
      </w:r>
      <w:r w:rsidR="00683259">
        <w:rPr>
          <w:color w:val="auto"/>
        </w:rPr>
        <w:t>p</w:t>
      </w:r>
      <w:r w:rsidRPr="00227A92">
        <w:rPr>
          <w:color w:val="auto"/>
        </w:rPr>
        <w:t xml:space="preserve">aper, we propose a </w:t>
      </w:r>
      <w:r w:rsidRPr="00227A92">
        <w:t xml:space="preserve">multi-scale approach, </w:t>
      </w:r>
      <w:r w:rsidRPr="00541955">
        <w:t xml:space="preserve">where local and non-local techniques sensitive to antibody-antigen recognition events are combined for quantitatively understanding and developing </w:t>
      </w:r>
      <w:r w:rsidR="00E071D0" w:rsidRPr="00541955">
        <w:t xml:space="preserve">of </w:t>
      </w:r>
      <w:r w:rsidRPr="00541955">
        <w:t>a label-free biosensor.</w:t>
      </w:r>
      <w:r w:rsidRPr="00227A92">
        <w:t xml:space="preserve"> </w:t>
      </w:r>
      <w:r w:rsidRPr="00227A92">
        <w:rPr>
          <w:color w:val="auto"/>
        </w:rPr>
        <w:t>Our</w:t>
      </w:r>
      <w:r w:rsidRPr="00227A92">
        <w:t xml:space="preserve"> approach combines </w:t>
      </w:r>
      <w:r w:rsidRPr="00541955">
        <w:t>single molecule force spectroscopy (SFS) (see Fig.1) and an electrolyte-gated organic field effect transistor (EGOFET) (see Fig.2)</w:t>
      </w:r>
      <w:r w:rsidRPr="00227A92">
        <w:t xml:space="preserve"> to assess specific recognition on device-relevant Au surfaces </w:t>
      </w:r>
      <w:r w:rsidRPr="00744810">
        <w:rPr>
          <w:color w:val="auto"/>
        </w:rPr>
        <w:t>in the limit of strong electrostatic screening regime.</w:t>
      </w:r>
      <w:r w:rsidRPr="00227A92">
        <w:rPr>
          <w:color w:val="auto"/>
        </w:rPr>
        <w:t xml:space="preserve"> </w:t>
      </w:r>
    </w:p>
    <w:p w:rsidR="0043358E" w:rsidRPr="00227A92" w:rsidRDefault="0043358E" w:rsidP="0043358E">
      <w:pPr>
        <w:pStyle w:val="TAMainText"/>
        <w:ind w:left="202" w:firstLine="518"/>
        <w:rPr>
          <w:color w:val="auto"/>
        </w:rPr>
      </w:pPr>
      <w:r w:rsidRPr="00227A92">
        <w:t xml:space="preserve">SFS is sensitive to a few single </w:t>
      </w:r>
      <w:r w:rsidRPr="00227A92">
        <w:rPr>
          <w:kern w:val="24"/>
          <w:shd w:val="clear" w:color="auto" w:fill="FFFFFF"/>
        </w:rPr>
        <w:t xml:space="preserve">antibody-antigen interactions. In SFS, the force dependence on the probe-surface distance, termed force curve, is recorded. A force curve exhibits regions where a smooth variation </w:t>
      </w:r>
      <w:r w:rsidRPr="00B37905">
        <w:rPr>
          <w:i/>
          <w:kern w:val="24"/>
          <w:shd w:val="clear" w:color="auto" w:fill="FFFFFF"/>
        </w:rPr>
        <w:t>vs.</w:t>
      </w:r>
      <w:r w:rsidRPr="00227A92">
        <w:rPr>
          <w:kern w:val="24"/>
          <w:shd w:val="clear" w:color="auto" w:fill="FFFFFF"/>
        </w:rPr>
        <w:t xml:space="preserve"> the distance is interrupted by abrupt changes</w:t>
      </w:r>
      <w:r w:rsidRPr="00227A92">
        <w:rPr>
          <w:color w:val="auto"/>
          <w:kern w:val="24"/>
          <w:shd w:val="clear" w:color="auto" w:fill="FFFFFF"/>
        </w:rPr>
        <w:t xml:space="preserve">. These “jumps” are </w:t>
      </w:r>
      <w:r w:rsidRPr="00227A92">
        <w:rPr>
          <w:kern w:val="24"/>
          <w:shd w:val="clear" w:color="auto" w:fill="FFFFFF"/>
        </w:rPr>
        <w:t>interpreted as the rupture of single or multiple bonds that were formed because of molecular recognition interactions. The value of the forces measured by SFS depends on both the loading rate</w:t>
      </w:r>
      <w:r w:rsidR="00B43940" w:rsidRPr="00541955">
        <w:rPr>
          <w:kern w:val="24"/>
          <w:shd w:val="clear" w:color="auto" w:fill="FFFFFF"/>
        </w:rPr>
        <w:fldChar w:fldCharType="begin" w:fldLock="1"/>
      </w:r>
      <w:r w:rsidRPr="00541955">
        <w:rPr>
          <w:kern w:val="24"/>
          <w:shd w:val="clear" w:color="auto" w:fill="FFFFFF"/>
        </w:rPr>
        <w:instrText>ADDIN CSL_CITATION { "citationItems" : [ { "id" : "ITEM-1", "itemData" : { "DOI" : "10.1016/S0006-3495(97)78802-7", "abstract" : "In biology, molecular linkages at, within, and beneath cell interfaces arise mainly from weak noncovalent interactions. These bonds will fail under any level of pulling force if held for sufficient time. Thus, when tested with ultrasensitive force probes, we expect cohesive material strength and strength of adhesion at interfaces to be time- and loading rate-dependent properties. To examine what can be learned from measurements of bond strength, we have extended Kramers' theory for reaction kinetics in liquids to bond dissociation under force and tested the predictions by smart Monte Carlo (Brownian dynamics) simulations of bond rupture. By definition, bond strength is the force that produces the most frequent failure in repeated tests of breakage, i.e., the peak in the distribution of rupture forces. As verified by the simulations, theory shows that bond strength progresses through three dynamic regimes of loading rate. First, bond strength emerges at a critical rate of loading (&gt; or = 0) at which spontaneous dissociation is just frequent enough to keep the distribution peak at zero force. In the slow-loading regime immediately above the critical rate, strength grows as a weak power of loading rate and reflects initial coupling of force to the bonding potential. At higher rates, there is crossover to a fast regime in which strength continues to increase as the logarithm of the loading rate over many decades independent of the type of attraction. Finally, at ultrafast loading rates approaching the domain of molecular dynamics simulations, the bonding potential is quickly overwhelmed by the rapidly increasing force, so that only naked frictional drag on the structure remains to retard separation. Hence, to expose the energy landscape that governs bond strength, molecular adhesion forces must be examined over an enormous span of time scales. However, a significant gap exists between the time domain of force measurements in the laboratory and the extremely fast scale of molecular motions. Using results from a simulation of biotin-avidin bonds (Izrailev, S., S. Stepaniants, M. Balsera, Y. Oono, and K. Schulten. 1997. Molecular dynamics study of unbinding of the avidin-biotin complex. Biophys. J., this issue), we describe how Brownian dynamics can help bridge the gap between molecular dynamics and probe tests.", "author" : [ { "dropping-particle" : "", "family" : "Evans", "given" : "E", "non-dropping-particle" : "", "parse-names" : false, "suffix" : "" }, { "dropping-particle" : "", "family" : "Ritchie", "given" : "K", "non-dropping-particle" : "", "parse-names" : false, "suffix" : "" } ], "container-title" : "Biophysical journal", "id" : "ITEM-1", "issue" : "4", "issued" : { "date-parts" : [ [ "1997" ] ] }, "page" : "1541-1555", "publisher" : "Elsevier", "title" : "Dynamic strength of molecular adhesion bonds", "type" : "article-journal", "volume" : "72" }, "uris" : [ "http://www.mendeley.com/documents/?uuid=772cde48-0bfc-48ee-811e-6fdb37a9b4a3" ] }, { "id" : "ITEM-2", "itemData" : { "DOI" : "10.1038/16219", "ISBN" : "0028-0836 (Print)\n0028-0836", "PMID" : "9892352", "abstract" : "Atomic force microscopy (AFM) has been used to measure the strength of bonds between biological receptor molecules and their ligands. But for weak noncovalent bonds, a dynamic spectrum of bond strengths is predicted as the loading rate is altered, with the measured strength being governed by the prominent barriers traversed in the energy landscape along the force-driven bond-dissociation pathway. In other words, the pioneering early AFM measurements represent only a single point in a continuous spectrum of bond strengths, because theory predicts that these will depend on the rate at which the load is applied. Here we report the strength spectra for the bonds between streptavidin (or avidin) and biotins-the prototype of receptor-ligand interactions used in earlier AFM studies, and which have been modelled by molecular dynamics. We have probed bond formation over six orders of magnitude in loading rate, and find that the bond survival time diminished from about 1 min to 0.001 s with increasing loading rate over this range. The bond strength, meanwhile, increased from about 5 pN to 170 pN. Thus, although they are among the strongest noncovalent linkages in biology (affinity of 10(13) to 10(15) M(-1)), these bonds in fact appear strong or weak depending on how fast they are loaded. We are also able to relate the activation barriers derived from our strength spectra to the shape of the energy landscape derived from simulations of the biotin-avidin complex.", "author" : [ { "dropping-particle" : "", "family" : "Merkel", "given" : "R", "non-dropping-particle" : "", "parse-names" : false, "suffix" : "" }, { "dropping-particle" : "", "family" : "Nassoy", "given" : "P", "non-dropping-particle" : "", "parse-names" : false, "suffix" : "" }, { "dropping-particle" : "", "family" : "Leung", "given" : "A", "non-dropping-particle" : "", "parse-names" : false, "suffix" : "" }, { "dropping-particle" : "", "family" : "Ritchie", "given" : "K", "non-dropping-particle" : "", "parse-names" : false, "suffix" : "" }, { "dropping-particle" : "", "family" : "Evans", "given" : "E", "non-dropping-particle" : "", "parse-names" : false, "suffix" : "" } ], "container-title" : "Nature", "edition" : "1999/01/19", "id" : "ITEM-2", "issue" : "6714", "issued" : { "date-parts" : [ [ "1999" ] ] }, "page" : "50-53", "title" : "Energy landscapes of receptor-ligand bonds explored with dynamic force spectroscopy", "type" : "article-journal", "volume" : "397" }, "uris" : [ "http://www.mendeley.com/documents/?uuid=7c461f70-2414-4cc2-8598-f25c4342012f" ] } ], "mendeley" : { "formattedCitation" : "&lt;sup&gt;27,28&lt;/sup&gt;", "plainTextFormattedCitation" : "27,28", "previouslyFormattedCitation" : "&lt;sup&gt;27,28&lt;/sup&gt;" }, "properties" : { "noteIndex" : 0 }, "schema" : "https://github.com/citation-style-language/schema/raw/master/csl-citation.json" }</w:instrText>
      </w:r>
      <w:r w:rsidR="00B43940" w:rsidRPr="00541955">
        <w:rPr>
          <w:kern w:val="24"/>
          <w:shd w:val="clear" w:color="auto" w:fill="FFFFFF"/>
        </w:rPr>
        <w:fldChar w:fldCharType="separate"/>
      </w:r>
      <w:r w:rsidR="00234D1C" w:rsidRPr="00541955">
        <w:rPr>
          <w:noProof/>
          <w:kern w:val="24"/>
          <w:shd w:val="clear" w:color="auto" w:fill="FFFFFF"/>
          <w:vertAlign w:val="superscript"/>
        </w:rPr>
        <w:t>1</w:t>
      </w:r>
      <w:r w:rsidRPr="00541955">
        <w:rPr>
          <w:noProof/>
          <w:kern w:val="24"/>
          <w:shd w:val="clear" w:color="auto" w:fill="FFFFFF"/>
          <w:vertAlign w:val="superscript"/>
        </w:rPr>
        <w:t>7,</w:t>
      </w:r>
      <w:r w:rsidR="00234D1C" w:rsidRPr="00541955">
        <w:rPr>
          <w:noProof/>
          <w:kern w:val="24"/>
          <w:shd w:val="clear" w:color="auto" w:fill="FFFFFF"/>
          <w:vertAlign w:val="superscript"/>
        </w:rPr>
        <w:t>1</w:t>
      </w:r>
      <w:r w:rsidRPr="00541955">
        <w:rPr>
          <w:noProof/>
          <w:kern w:val="24"/>
          <w:shd w:val="clear" w:color="auto" w:fill="FFFFFF"/>
          <w:vertAlign w:val="superscript"/>
        </w:rPr>
        <w:t>8</w:t>
      </w:r>
      <w:r w:rsidR="00B43940" w:rsidRPr="00541955">
        <w:rPr>
          <w:kern w:val="24"/>
          <w:shd w:val="clear" w:color="auto" w:fill="FFFFFF"/>
        </w:rPr>
        <w:fldChar w:fldCharType="end"/>
      </w:r>
      <w:r w:rsidRPr="00227A92">
        <w:rPr>
          <w:kern w:val="24"/>
          <w:shd w:val="clear" w:color="auto" w:fill="FFFFFF"/>
        </w:rPr>
        <w:t xml:space="preserve"> and the relevant electrostatic interactions.</w:t>
      </w:r>
      <w:r w:rsidR="00B43940" w:rsidRPr="00541955">
        <w:rPr>
          <w:kern w:val="24"/>
          <w:shd w:val="clear" w:color="auto" w:fill="FFFFFF"/>
        </w:rPr>
        <w:fldChar w:fldCharType="begin" w:fldLock="1"/>
      </w:r>
      <w:r w:rsidRPr="00541955">
        <w:rPr>
          <w:kern w:val="24"/>
          <w:shd w:val="clear" w:color="auto" w:fill="FFFFFF"/>
        </w:rPr>
        <w:instrText>ADDIN CSL_CITATION { "citationItems" : [ { "id" : "ITEM-1", "itemData" : { "DOI" : "10.1021/nn400015z", "ISBN" : "1936-0851", "abstract" : "Knowing the dynamic mechanical response of tissue, cells, membranes, proteins, nucleic acids, and carbohydrates to external perturbations is important to understand various biological and biotechnological problems. Atomic force microscopy (AFM)-based approaches are the most frequently used nanotechnologies to determine the mechanical properties of biological samples that range in size from microscopic to (sub)nanoscopic. However, the dynamic nature of biomechanical properties has barely been addressed by AFM imaging. In this work, we characterizethe viscoelastic properties of the native light-driven proton pump bacteriorhodopsin of the purple membrane of Halobacterium salinarum. Using force?distance curve (F?D)-based AFM we imaged purple membranes while force probing their mechanical response over a wide range of loading rates (from ?0.5 to 100 ?N/s). Our results show that the mechanical stiffness of protein and membrane increases with the loading rate up to a factor of 10 (from ?0.3 to 3.2 N/m). In addition, the electrostatic repulsion between AFM tip and sample can alter the mechanical stiffness measured by AFM up to ?60% (from ?0.8 to 1.3 N/m).These findings indicate that the mechanical response of membranes and proteins and probably of other biomolecular systems should be determined at different loading rates to fully understand their properties.", "author" : [ { "dropping-particle" : "", "family" : "Medalsy", "given" : "Izhar D", "non-dropping-particle" : "", "parse-names" : false, "suffix" : "" }, { "dropping-particle" : "", "family" : "M\u00fcller", "given" : "Daniel J", "non-dropping-particle" : "", "parse-names" : false, "suffix" : "" } ], "container-title" : "ACS Nano", "id" : "ITEM-1", "issue" : "3", "issued" : { "date-parts" : [ [ "2013" ] ] }, "page" : "2642-2650", "publisher" : "American Chemical Society", "title" : "Nanomechanical Properties of Proteins and Membranes Depend on Loading Rate and Electrostatic Interactions", "type" : "article-journal", "volume" : "7" }, "uris" : [ "http://www.mendeley.com/documents/?uuid=fad09124-7770-4eb8-bb80-60a5116542d3" ] } ], "mendeley" : { "formattedCitation" : "&lt;sup&gt;29&lt;/sup&gt;", "plainTextFormattedCitation" : "29", "previouslyFormattedCitation" : "&lt;sup&gt;29&lt;/sup&gt;" }, "properties" : { "noteIndex" : 0 }, "schema" : "https://github.com/citation-style-language/schema/raw/master/csl-citation.json" }</w:instrText>
      </w:r>
      <w:r w:rsidR="00B43940" w:rsidRPr="00541955">
        <w:rPr>
          <w:kern w:val="24"/>
          <w:shd w:val="clear" w:color="auto" w:fill="FFFFFF"/>
        </w:rPr>
        <w:fldChar w:fldCharType="separate"/>
      </w:r>
      <w:r w:rsidR="00234D1C" w:rsidRPr="00541955">
        <w:rPr>
          <w:noProof/>
          <w:kern w:val="24"/>
          <w:shd w:val="clear" w:color="auto" w:fill="FFFFFF"/>
          <w:vertAlign w:val="superscript"/>
        </w:rPr>
        <w:t>1</w:t>
      </w:r>
      <w:r w:rsidRPr="00541955">
        <w:rPr>
          <w:noProof/>
          <w:kern w:val="24"/>
          <w:shd w:val="clear" w:color="auto" w:fill="FFFFFF"/>
          <w:vertAlign w:val="superscript"/>
        </w:rPr>
        <w:t>9</w:t>
      </w:r>
      <w:r w:rsidR="00B43940" w:rsidRPr="00541955">
        <w:rPr>
          <w:kern w:val="24"/>
          <w:shd w:val="clear" w:color="auto" w:fill="FFFFFF"/>
        </w:rPr>
        <w:fldChar w:fldCharType="end"/>
      </w:r>
      <w:r w:rsidRPr="00227A92">
        <w:rPr>
          <w:kern w:val="24"/>
          <w:shd w:val="clear" w:color="auto" w:fill="FFFFFF"/>
        </w:rPr>
        <w:t xml:space="preserve"> Being the latter anisotropic, the orientation of the recognition moiety on the surface is important. This orientation may substantially vary depending on the protocol adopted for immobilizing the recognition group on the surface. </w:t>
      </w:r>
      <w:r w:rsidRPr="00227A92">
        <w:rPr>
          <w:color w:val="auto"/>
          <w:kern w:val="24"/>
          <w:shd w:val="clear" w:color="auto" w:fill="FFFFFF"/>
        </w:rPr>
        <w:t>SFS has been successfully</w:t>
      </w:r>
      <w:r w:rsidRPr="00227A92">
        <w:rPr>
          <w:kern w:val="24"/>
          <w:shd w:val="clear" w:color="auto" w:fill="FFFFFF"/>
        </w:rPr>
        <w:t xml:space="preserve"> applied to measure the forces between ligands and receptors,</w:t>
      </w:r>
      <w:r w:rsidR="00B43940" w:rsidRPr="00541955">
        <w:rPr>
          <w:kern w:val="24"/>
          <w:shd w:val="clear" w:color="auto" w:fill="FFFFFF"/>
        </w:rPr>
        <w:fldChar w:fldCharType="begin" w:fldLock="1"/>
      </w:r>
      <w:r w:rsidRPr="00541955">
        <w:rPr>
          <w:kern w:val="24"/>
          <w:shd w:val="clear" w:color="auto" w:fill="FFFFFF"/>
        </w:rPr>
        <w:instrText>ADDIN CSL_CITATION { "citationItems" : [ { "id" : "ITEM-1", "itemData" : { "ISSN" : "0036-8075", "PMID" : "8153628", "abstract" : "The adhesion force between the tip of an atomic force microscope cantilever derivatized with avidin and agarose beads functionalized with biotin, desthiobiotin, or iminobiotin was measured. Under conditions that allowed only a limited number of molecular pairs to interact, the force required to separate tip and bead was found to be quantized in integer multiples of 160 +/- 20 piconewtons for biotin and 85 +/- 15 piconewtons for iminobiotin. The measured force quanta are interpreted as the unbinding forces of individual molecular pairs.", "author" : [ { "dropping-particle" : "", "family" : "Florin", "given" : "E L", "non-dropping-particle" : "", "parse-names" : false, "suffix" : "" }, { "dropping-particle" : "", "family" : "Moy", "given" : "V T", "non-dropping-particle" : "", "parse-names" : false, "suffix" : "" }, { "dropping-particle" : "", "family" : "Gaub", "given" : "H E", "non-dropping-particle" : "", "parse-names" : false, "suffix" : "" } ], "container-title" : "Science", "id" : "ITEM-1", "issue" : "5157", "issued" : { "date-parts" : [ [ "1994", "4", "15" ] ] }, "page" : "415-417", "title" : "Adhesion forces between individual ligand-receptor pairs.", "type" : "article-journal", "volume" : "264" }, "uris" : [ "http://www.mendeley.com/documents/?uuid=042be436-c3a7-4a4a-8475-11af22c30ea6" ] }, { "id" : "ITEM-2", "itemData" : { "ISSN" : "0036-8075", "PMID" : "7939660", "abstract" : "The recognition mechanisms and dissociation pathways of the avidin-biotin complex and of actin monomers in actin filaments were investigated. The unbinding forces of discrete complexes of avidin or streptavidin with biotin analogs are proportional to the enthalpy change of the complex formation but independent of changes in the free energy. This result indicates that the unbinding process is adiabatic and that entropic changes occur after unbinding. On the basis of the measured forces and binding energies, an effective rupture length of 9.5 +/- 1 angstroms was calculated for all biotin-avidin pairs and approximately 1 to 3 angstroms for the actin monomer-monomer interaction. A model for the correlation among binding forces, intermolecular potential, and molecular function is proposed.", "author" : [ { "dropping-particle" : "", "family" : "Moy", "given" : "V T", "non-dropping-particle" : "", "parse-names" : false, "suffix" : "" }, { "dropping-particle" : "", "family" : "Florin", "given" : "E L", "non-dropping-particle" : "", "parse-names" : false, "suffix" : "" }, { "dropping-particle" : "", "family" : "Gaub", "given" : "H E", "non-dropping-particle" : "", "parse-names" : false, "suffix" : "" } ], "container-title" : "Science (New York, N.Y.)", "id" : "ITEM-2", "issue" : "5183", "issued" : { "date-parts" : [ [ "1994", "10", "14" ] ] }, "page" : "257-259", "title" : "Intermolecular forces and energies between ligands and receptors.", "type" : "article-journal", "volume" : "266" }, "uris" : [ "http://www.mendeley.com/documents/?uuid=bc601b54-c2da-4da9-b37a-5e1051379fd9" ] } ], "mendeley" : { "formattedCitation" : "&lt;sup&gt;30,31&lt;/sup&gt;", "plainTextFormattedCitation" : "30,31", "previouslyFormattedCitation" : "&lt;sup&gt;30,31&lt;/sup&gt;" }, "properties" : { "noteIndex" : 0 }, "schema" : "https://github.com/citation-style-language/schema/raw/master/csl-citation.json" }</w:instrText>
      </w:r>
      <w:r w:rsidR="00B43940" w:rsidRPr="00541955">
        <w:rPr>
          <w:kern w:val="24"/>
          <w:shd w:val="clear" w:color="auto" w:fill="FFFFFF"/>
        </w:rPr>
        <w:fldChar w:fldCharType="separate"/>
      </w:r>
      <w:r w:rsidR="00234D1C" w:rsidRPr="00541955">
        <w:rPr>
          <w:noProof/>
          <w:kern w:val="24"/>
          <w:shd w:val="clear" w:color="auto" w:fill="FFFFFF"/>
          <w:vertAlign w:val="superscript"/>
        </w:rPr>
        <w:t>2</w:t>
      </w:r>
      <w:r w:rsidRPr="00541955">
        <w:rPr>
          <w:noProof/>
          <w:kern w:val="24"/>
          <w:shd w:val="clear" w:color="auto" w:fill="FFFFFF"/>
          <w:vertAlign w:val="superscript"/>
        </w:rPr>
        <w:t>0,</w:t>
      </w:r>
      <w:r w:rsidR="00234D1C" w:rsidRPr="00541955">
        <w:rPr>
          <w:noProof/>
          <w:kern w:val="24"/>
          <w:shd w:val="clear" w:color="auto" w:fill="FFFFFF"/>
          <w:vertAlign w:val="superscript"/>
        </w:rPr>
        <w:t>2</w:t>
      </w:r>
      <w:r w:rsidRPr="00541955">
        <w:rPr>
          <w:noProof/>
          <w:kern w:val="24"/>
          <w:shd w:val="clear" w:color="auto" w:fill="FFFFFF"/>
          <w:vertAlign w:val="superscript"/>
        </w:rPr>
        <w:t>1</w:t>
      </w:r>
      <w:r w:rsidR="00B43940" w:rsidRPr="00541955">
        <w:rPr>
          <w:kern w:val="24"/>
          <w:shd w:val="clear" w:color="auto" w:fill="FFFFFF"/>
        </w:rPr>
        <w:fldChar w:fldCharType="end"/>
      </w:r>
      <w:r w:rsidRPr="00227A92">
        <w:rPr>
          <w:kern w:val="24"/>
          <w:shd w:val="clear" w:color="auto" w:fill="FFFFFF"/>
        </w:rPr>
        <w:t xml:space="preserve"> antibody-antigen,</w:t>
      </w:r>
      <w:r w:rsidR="00B43940" w:rsidRPr="00541955">
        <w:rPr>
          <w:kern w:val="24"/>
          <w:shd w:val="clear" w:color="auto" w:fill="FFFFFF"/>
        </w:rPr>
        <w:fldChar w:fldCharType="begin" w:fldLock="1"/>
      </w:r>
      <w:r w:rsidRPr="00541955">
        <w:rPr>
          <w:kern w:val="24"/>
          <w:shd w:val="clear" w:color="auto" w:fill="FFFFFF"/>
        </w:rPr>
        <w:instrText>ADDIN CSL_CITATION { "citationItems" : [ { "id" : "ITEM-1", "itemData" : { "abstract" : "A methodology has been developed for the study of molecular recognition at the level of single events and for the localization of sites on biosurfaces, in combining force microscopy with molecular recognition by specific ligands. For this goal, a sensor was designed by covalently linking an antibody (anti-human serum albumin, polyclonal) via a flexible spacer to the tip of a force microscope. This sensor permitted detection of single antibody-antigen recognition events by force signals of unique shape with an unbinding force of 244 +/- 22 pN. Analysis revealed that observed unbinding forces originate from the dissociation of individual Fab fragments from a human serum albumin molecule. The two Fab fragments of the antibody were found to bind independently and with equal probability. The flexible linkage provided the antibody with a 6-nm dynamical reach for binding, rendering binding probability high, 0.5 for encounter times of 60 ms. This permitted fast and reliable detection of antigenic sites during lateral scans with a positional accuracy of 1.5 nm. It is indicated that this methodology has promise for characterizing rate constants and kinetics of molecular recognition complexes and for molecular mapping of biosurfaces such as membranes.", "author" : [ { "dropping-particle" : "", "family" : "Hinterdorfer", "given" : "P", "non-dropping-particle" : "", "parse-names" : false, "suffix" : "" }, { "dropping-particle" : "", "family" : "Baumgartner", "given" : "W", "non-dropping-particle" : "", "parse-names" : false, "suffix" : "" }, { "dropping-particle" : "", "family" : "Gruber", "given" : "H J", "non-dropping-particle" : "", "parse-names" : false, "suffix" : "" }, { "dropping-particle" : "", "family" : "Schilcher", "given" : "K", "non-dropping-particle" : "", "parse-names" : false, "suffix" : "" }, { "dropping-particle" : "", "family" : "Schindler", "given" : "H", "non-dropping-particle" : "", "parse-names" : false, "suffix" : "" } ], "container-title" : "Proceedings of the National Academy of Sciences", "id" : "ITEM-1", "issue" : "8", "issued" : { "date-parts" : [ [ "1996" ] ] }, "page" : "3477-3481", "title" : "Detection and localization of individual antibody-antigen recognition events by atomic force microscopy", "type" : "article-journal", "volume" : "93" }, "uris" : [ "http://www.mendeley.com/documents/?uuid=ab556e82-9885-41c4-b989-75c4bde87591" ] }, { "id" : "ITEM-2", "itemData" : { "DOI" : "10.1021/la047922q", "ISBN" : "0743-7463", "abstract" : "A systematic evaluation of the effects of antibody immobilization strategy on the binding efficiency and selectivity (e.g., ability to distinguish between specific and nonspecific interactions) of immunosurfaces prepared with F(ab?) antibody fragments of rabbit Immunoglobulin G (IgG) is described. F(ab?) was attached to gold surfaces either (1) directly via the formation of a gold-thiolate bond or (2) indirectly through a series of a bifunctional linkers containing an alkane chain or ethylene glycol spacer. Immobilization of F(ab?) via the sulfhydryl reactive group located opposite the antigen binding site ensured optimum orientation of the antigen binding site. X-ray photoelectron spectroscopy (XPS) and surface plasmon resonance (SPR) were used to confirm surface modification with the bifunctional linkers and antibody immobilization, respectively. Binding efficiency assays performed with SPR indicated that increasing the length of the linker increased the antigen binding efficiency. Atomic force microscopy (AFM) adhesion force measurements indicated that AFM probes functionalized with directly immobilized F(ab?) more effectively discriminated between specific and nonspecific surface-bound proteins than probes modified indirectly via linker-immobilized F(ab?). In addition, a greater number of antibody?antigen binding events were observed with directly immobilized F(ab?)-functionalized probes.", "author" : [ { "dropping-particle" : "", "family" : "Brogan", "given" : "Kathryn L", "non-dropping-particle" : "", "parse-names" : false, "suffix" : "" }, { "dropping-particle" : "", "family" : "Schoenfisch", "given" : "Mark H", "non-dropping-particle" : "", "parse-names" : false, "suffix" : "" } ], "container-title" : "Langmuir", "id" : "ITEM-2", "issue" : "7", "issued" : { "date-parts" : [ [ "2005" ] ] }, "page" : "3054-3060", "publisher" : "American Chemical Society", "title" : "Influence of Antibody Immobilization Strategy on Molecular Recognition Force Microscopy Measurements", "type" : "article-journal", "volume" : "21" }, "uris" : [ "http://www.mendeley.com/documents/?uuid=4eeb7311-fc80-4d42-86e1-05cd3b2ccc55" ] } ], "mendeley" : { "formattedCitation" : "&lt;sup&gt;32,33&lt;/sup&gt;", "plainTextFormattedCitation" : "32,33", "previouslyFormattedCitation" : "&lt;sup&gt;32,33&lt;/sup&gt;" }, "properties" : { "noteIndex" : 0 }, "schema" : "https://github.com/citation-style-language/schema/raw/master/csl-citation.json" }</w:instrText>
      </w:r>
      <w:r w:rsidR="00B43940" w:rsidRPr="00541955">
        <w:rPr>
          <w:kern w:val="24"/>
          <w:shd w:val="clear" w:color="auto" w:fill="FFFFFF"/>
        </w:rPr>
        <w:fldChar w:fldCharType="separate"/>
      </w:r>
      <w:r w:rsidR="00234D1C" w:rsidRPr="00541955">
        <w:rPr>
          <w:noProof/>
          <w:kern w:val="24"/>
          <w:shd w:val="clear" w:color="auto" w:fill="FFFFFF"/>
          <w:vertAlign w:val="superscript"/>
        </w:rPr>
        <w:t>2</w:t>
      </w:r>
      <w:r w:rsidRPr="00541955">
        <w:rPr>
          <w:noProof/>
          <w:kern w:val="24"/>
          <w:shd w:val="clear" w:color="auto" w:fill="FFFFFF"/>
          <w:vertAlign w:val="superscript"/>
        </w:rPr>
        <w:t>2,</w:t>
      </w:r>
      <w:r w:rsidR="00234D1C" w:rsidRPr="00541955">
        <w:rPr>
          <w:noProof/>
          <w:kern w:val="24"/>
          <w:shd w:val="clear" w:color="auto" w:fill="FFFFFF"/>
          <w:vertAlign w:val="superscript"/>
        </w:rPr>
        <w:t>2</w:t>
      </w:r>
      <w:r w:rsidRPr="00541955">
        <w:rPr>
          <w:noProof/>
          <w:kern w:val="24"/>
          <w:shd w:val="clear" w:color="auto" w:fill="FFFFFF"/>
          <w:vertAlign w:val="superscript"/>
        </w:rPr>
        <w:t>3</w:t>
      </w:r>
      <w:r w:rsidR="00B43940" w:rsidRPr="00541955">
        <w:rPr>
          <w:kern w:val="24"/>
          <w:shd w:val="clear" w:color="auto" w:fill="FFFFFF"/>
        </w:rPr>
        <w:fldChar w:fldCharType="end"/>
      </w:r>
      <w:r w:rsidRPr="00227A92">
        <w:rPr>
          <w:kern w:val="24"/>
          <w:shd w:val="clear" w:color="auto" w:fill="FFFFFF"/>
        </w:rPr>
        <w:t xml:space="preserve"> to investigate the unfolding of </w:t>
      </w:r>
      <w:r w:rsidRPr="00227A92">
        <w:rPr>
          <w:kern w:val="24"/>
          <w:shd w:val="clear" w:color="auto" w:fill="FFFFFF"/>
        </w:rPr>
        <w:lastRenderedPageBreak/>
        <w:t>proteins,</w:t>
      </w:r>
      <w:r w:rsidR="00B43940" w:rsidRPr="00541955">
        <w:rPr>
          <w:kern w:val="24"/>
          <w:shd w:val="clear" w:color="auto" w:fill="FFFFFF"/>
        </w:rPr>
        <w:fldChar w:fldCharType="begin" w:fldLock="1"/>
      </w:r>
      <w:r w:rsidRPr="00541955">
        <w:rPr>
          <w:kern w:val="24"/>
          <w:shd w:val="clear" w:color="auto" w:fill="FFFFFF"/>
        </w:rPr>
        <w:instrText>ADDIN CSL_CITATION { "citationItems" : [ { "id" : "ITEM-1", "itemData" : { "DOI" : "10.1073/pnas.96.7.3694", "abstract" : "Is the mechanical unraveling of protein domains by atomic force microscopy (AFM) just a technological feat or a true measurement of their unfolding? By engineering a protein made of tandem repeats of identical Ig modules, we were able to get explicit AFM data on the unfolding rate of a single protein domain that can be accurately extrapolated to zero force. We compare this with chemical unfolding rates for untethered modules extrapolated to 0 M denaturant. The unfolding rates obtained by the two methods are the same. Furthermore, the transition state for unfolding appears at the same position on the folding pathway when assessed by either method. These results indicate that mechanical unfolding of a single protein by AFM does indeed reflect the same event that is observed in traditional unfolding experiments. The way is now open for the extensive use of AFM to measure folding reactions at the single-molecule level. Single-molecule AFM recordings have the added advantage that they define the reaction coordinate and expose rare unfolding events that cannot be observed in the absence of chemical denaturants.", "author" : [ { "dropping-particle" : "", "family" : "Carrion-Vazquez", "given" : "Mariano", "non-dropping-particle" : "", "parse-names" : false, "suffix" : "" }, { "dropping-particle" : "", "family" : "Oberhauser", "given" : "Andres F", "non-dropping-particle" : "", "parse-names" : false, "suffix" : "" }, { "dropping-particle" : "", "family" : "Fowler", "given" : "Susan B", "non-dropping-particle" : "", "parse-names" : false, "suffix" : "" }, { "dropping-particle" : "", "family" : "Marszalek", "given" : "Piotr E", "non-dropping-particle" : "", "parse-names" : false, "suffix" : "" }, { "dropping-particle" : "", "family" : "Broedel", "given" : "Sheldon E", "non-dropping-particle" : "", "parse-names" : false, "suffix" : "" }, { "dropping-particle" : "", "family" : "Clarke", "given" : "Jane", "non-dropping-particle" : "", "parse-names" : false, "suffix" : "" }, { "dropping-particle" : "", "family" : "Fernandez", "given" : "Julio M", "non-dropping-particle" : "", "parse-names" : false, "suffix" : "" } ], "container-title" : "Proceedings of the National Academy of Sciences", "id" : "ITEM-1", "issue" : "7", "issued" : { "date-parts" : [ [ "1999" ] ] }, "page" : "3694-3699", "title" : "Mechanical and chemical unfolding of a single protein: A comparison", "type" : "article-journal", "volume" : "96" }, "uris" : [ "http://www.mendeley.com/documents/?uuid=97d143c4-24fc-4f6a-86b3-32b2f237c0b2" ] } ], "mendeley" : { "formattedCitation" : "&lt;sup&gt;34&lt;/sup&gt;", "plainTextFormattedCitation" : "34", "previouslyFormattedCitation" : "&lt;sup&gt;34&lt;/sup&gt;" }, "properties" : { "noteIndex" : 0 }, "schema" : "https://github.com/citation-style-language/schema/raw/master/csl-citation.json" }</w:instrText>
      </w:r>
      <w:r w:rsidR="00B43940" w:rsidRPr="00541955">
        <w:rPr>
          <w:kern w:val="24"/>
          <w:shd w:val="clear" w:color="auto" w:fill="FFFFFF"/>
        </w:rPr>
        <w:fldChar w:fldCharType="separate"/>
      </w:r>
      <w:r w:rsidR="00234D1C" w:rsidRPr="00541955">
        <w:rPr>
          <w:noProof/>
          <w:kern w:val="24"/>
          <w:shd w:val="clear" w:color="auto" w:fill="FFFFFF"/>
          <w:vertAlign w:val="superscript"/>
        </w:rPr>
        <w:t>2</w:t>
      </w:r>
      <w:r w:rsidRPr="00541955">
        <w:rPr>
          <w:noProof/>
          <w:kern w:val="24"/>
          <w:shd w:val="clear" w:color="auto" w:fill="FFFFFF"/>
          <w:vertAlign w:val="superscript"/>
        </w:rPr>
        <w:t>4</w:t>
      </w:r>
      <w:r w:rsidR="00B43940" w:rsidRPr="00541955">
        <w:rPr>
          <w:kern w:val="24"/>
          <w:shd w:val="clear" w:color="auto" w:fill="FFFFFF"/>
        </w:rPr>
        <w:fldChar w:fldCharType="end"/>
      </w:r>
      <w:r w:rsidRPr="00227A92">
        <w:rPr>
          <w:kern w:val="24"/>
          <w:shd w:val="clear" w:color="auto" w:fill="FFFFFF"/>
        </w:rPr>
        <w:t xml:space="preserve"> protein stability,</w:t>
      </w:r>
      <w:r w:rsidR="00B43940" w:rsidRPr="00541955">
        <w:rPr>
          <w:kern w:val="24"/>
          <w:shd w:val="clear" w:color="auto" w:fill="FFFFFF"/>
        </w:rPr>
        <w:fldChar w:fldCharType="begin" w:fldLock="1"/>
      </w:r>
      <w:r w:rsidRPr="00541955">
        <w:rPr>
          <w:kern w:val="24"/>
          <w:shd w:val="clear" w:color="auto" w:fill="FFFFFF"/>
        </w:rPr>
        <w:instrText>ADDIN CSL_CITATION { "citationItems" : [ { "id" : "ITEM-1", "itemData" : { "DOI" : "10.1126/science.276.5315.1109", "abstract" : "Single-molecule atomic force microscopy (AFM) was used to investigate the mechanical properties of titin, the giant sarcomeric protein of striated muscle. Individual titin molecules were repeatedly stretched, and the applied force was recorded as a function of the elongation. At large extensions, the restoring force exhibited a sawtoothlike pattern, with a periodicity that varied between 25 and 28 nanometers. Measurements of recombinant titin immunoglobulin segments of two different lengths exhibited the same pattern and allowed attribution of the discontinuities to the unfolding of individual immunoglobulin domains. The forces required to unfold individual domains ranged from 150 to 300 piconewtons and depended on the pulling speed. Upon relaxation, refolding of immunoglobulin domains was observed.", "author" : [ { "dropping-particle" : "", "family" : "Rief", "given" : "Matthias", "non-dropping-particle" : "", "parse-names" : false, "suffix" : "" }, { "dropping-particle" : "", "family" : "Gautel", "given" : "Mathias", "non-dropping-particle" : "", "parse-names" : false, "suffix" : "" }, { "dropping-particle" : "", "family" : "Oesterhelt", "given" : "Filipp", "non-dropping-particle" : "", "parse-names" : false, "suffix" : "" }, { "dropping-particle" : "", "family" : "Fernandez", "given" : "Julio M", "non-dropping-particle" : "", "parse-names" : false, "suffix" : "" }, { "dropping-particle" : "", "family" : "Gaub", "given" : "Hermann E", "non-dropping-particle" : "", "parse-names" : false, "suffix" : "" } ], "container-title" : "Science", "id" : "ITEM-1", "issue" : "5315", "issued" : { "date-parts" : [ [ "1997" ] ] }, "page" : "1109-1112", "title" : "Reversible Unfolding of Individual Titin Immunoglobulin Domains by AFM", "type" : "article-journal", "volume" : "276" }, "uris" : [ "http://www.mendeley.com/documents/?uuid=249c3e39-63f8-4c0f-9786-06874d06038c" ] } ], "mendeley" : { "formattedCitation" : "&lt;sup&gt;35&lt;/sup&gt;", "plainTextFormattedCitation" : "35", "previouslyFormattedCitation" : "&lt;sup&gt;35&lt;/sup&gt;" }, "properties" : { "noteIndex" : 0 }, "schema" : "https://github.com/citation-style-language/schema/raw/master/csl-citation.json" }</w:instrText>
      </w:r>
      <w:r w:rsidR="00B43940" w:rsidRPr="00541955">
        <w:rPr>
          <w:kern w:val="24"/>
          <w:shd w:val="clear" w:color="auto" w:fill="FFFFFF"/>
        </w:rPr>
        <w:fldChar w:fldCharType="separate"/>
      </w:r>
      <w:r w:rsidR="00234D1C" w:rsidRPr="00541955">
        <w:rPr>
          <w:noProof/>
          <w:kern w:val="24"/>
          <w:shd w:val="clear" w:color="auto" w:fill="FFFFFF"/>
          <w:vertAlign w:val="superscript"/>
        </w:rPr>
        <w:t>2</w:t>
      </w:r>
      <w:r w:rsidRPr="00541955">
        <w:rPr>
          <w:noProof/>
          <w:kern w:val="24"/>
          <w:shd w:val="clear" w:color="auto" w:fill="FFFFFF"/>
          <w:vertAlign w:val="superscript"/>
        </w:rPr>
        <w:t>5</w:t>
      </w:r>
      <w:r w:rsidR="00B43940" w:rsidRPr="00541955">
        <w:rPr>
          <w:kern w:val="24"/>
          <w:shd w:val="clear" w:color="auto" w:fill="FFFFFF"/>
        </w:rPr>
        <w:fldChar w:fldCharType="end"/>
      </w:r>
      <w:r w:rsidRPr="00227A92">
        <w:rPr>
          <w:kern w:val="24"/>
          <w:shd w:val="clear" w:color="auto" w:fill="FFFFFF"/>
        </w:rPr>
        <w:t xml:space="preserve"> the interaction between carbohydrates,</w:t>
      </w:r>
      <w:r w:rsidR="00B43940" w:rsidRPr="00541955">
        <w:rPr>
          <w:kern w:val="24"/>
          <w:shd w:val="clear" w:color="auto" w:fill="FFFFFF"/>
        </w:rPr>
        <w:fldChar w:fldCharType="begin" w:fldLock="1"/>
      </w:r>
      <w:r w:rsidRPr="00541955">
        <w:rPr>
          <w:kern w:val="24"/>
          <w:shd w:val="clear" w:color="auto" w:fill="FFFFFF"/>
        </w:rPr>
        <w:instrText>ADDIN CSL_CITATION { "citationItems" : [ { "id" : "ITEM-1", "itemData" : { "DOI" : "10.1002/1521-3773(20010817)40:16&lt;3052::AID-ANIE3052&gt;3.0.CO;2-Q", "ISBN" : "1521-3773", "author" : [ { "dropping-particle" : "", "family" : "Tromas", "given" : "Christophe", "non-dropping-particle" : "", "parse-names" : false, "suffix" : "" }, { "dropping-particle" : "", "family" : "Rojo", "given" : "Javier", "non-dropping-particle" : "", "parse-names" : false, "suffix" : "" }, { "dropping-particle" : "", "family" : "la Fuente", "given" : "Jes\u00fas M", "non-dropping-particle" : "de", "parse-names" : false, "suffix" : "" }, { "dropping-particle" : "", "family" : "Barrientos", "given" : "Africa G", "non-dropping-particle" : "", "parse-names" : false, "suffix" : "" }, { "dropping-particle" : "", "family" : "Garc\u00eda", "given" : "Ricardo", "non-dropping-particle" : "", "parse-names" : false, "suffix" : "" }, { "dropping-particle" : "", "family" : "Penad\u00e9s", "given" : "Soledad", "non-dropping-particle" : "", "parse-names" : false, "suffix" : "" } ], "container-title" : "Angewandte Chemie International Edition", "id" : "ITEM-1", "issue" : "16", "issued" : { "date-parts" : [ [ "2001" ] ] }, "page" : "3052-3055", "publisher" : "WILEY-VCH Verlag", "title" : "Adhesion Forces between LewisX Determinant Antigens as Measured by Atomic Force Microscopy", "type" : "article-journal", "volume" : "40" }, "uris" : [ "http://www.mendeley.com/documents/?uuid=ee634a0d-1112-43f8-8ecf-5b11d458e2fc" ] } ], "mendeley" : { "formattedCitation" : "&lt;sup&gt;36&lt;/sup&gt;", "plainTextFormattedCitation" : "36", "previouslyFormattedCitation" : "&lt;sup&gt;36&lt;/sup&gt;" }, "properties" : { "noteIndex" : 0 }, "schema" : "https://github.com/citation-style-language/schema/raw/master/csl-citation.json" }</w:instrText>
      </w:r>
      <w:r w:rsidR="00B43940" w:rsidRPr="00541955">
        <w:rPr>
          <w:kern w:val="24"/>
          <w:shd w:val="clear" w:color="auto" w:fill="FFFFFF"/>
        </w:rPr>
        <w:fldChar w:fldCharType="separate"/>
      </w:r>
      <w:r w:rsidR="00234D1C" w:rsidRPr="00541955">
        <w:rPr>
          <w:noProof/>
          <w:kern w:val="24"/>
          <w:shd w:val="clear" w:color="auto" w:fill="FFFFFF"/>
          <w:vertAlign w:val="superscript"/>
        </w:rPr>
        <w:t>2</w:t>
      </w:r>
      <w:r w:rsidRPr="00541955">
        <w:rPr>
          <w:noProof/>
          <w:kern w:val="24"/>
          <w:shd w:val="clear" w:color="auto" w:fill="FFFFFF"/>
          <w:vertAlign w:val="superscript"/>
        </w:rPr>
        <w:t>6</w:t>
      </w:r>
      <w:r w:rsidR="00B43940" w:rsidRPr="00541955">
        <w:rPr>
          <w:kern w:val="24"/>
          <w:shd w:val="clear" w:color="auto" w:fill="FFFFFF"/>
        </w:rPr>
        <w:fldChar w:fldCharType="end"/>
      </w:r>
      <w:r w:rsidRPr="00227A92">
        <w:rPr>
          <w:kern w:val="24"/>
          <w:shd w:val="clear" w:color="auto" w:fill="FFFFFF"/>
        </w:rPr>
        <w:t xml:space="preserve"> and cell adhesion.</w:t>
      </w:r>
      <w:r w:rsidR="00B43940" w:rsidRPr="00541955">
        <w:rPr>
          <w:kern w:val="24"/>
          <w:shd w:val="clear" w:color="auto" w:fill="FFFFFF"/>
        </w:rPr>
        <w:fldChar w:fldCharType="begin" w:fldLock="1"/>
      </w:r>
      <w:r w:rsidRPr="00541955">
        <w:rPr>
          <w:kern w:val="24"/>
          <w:shd w:val="clear" w:color="auto" w:fill="FFFFFF"/>
        </w:rPr>
        <w:instrText>ADDIN CSL_CITATION { "citationItems" : [ { "id" : "ITEM-1", "itemData" : { "DOI" : "10.1016/j.cub.2011.01.046", "abstract" : "The emerging field of ?live cell nanoscopy? has revolutionized the way biologists explore the living cell at molecular resolution. Whereas far-field fluorescence nanoscopy enables the study of the nanoscale localization and dynamics of biomolecules in cells, recent developments in atomic force microscopy (AFM) techniques offer unprecedented opportunities for imaging the structural heterogeneity of cell surfaces, and for probing the functional properties of their molecular machineries (Figure 1). In the past few years, AFM-based force nanoscopy has enabled key breakthroughs in cell biology, including: deciphering the nanoscale architecture of cell surfaces and their remodelling upon changes to the cell's functional state; understanding cellular mechanics and their functional implications; quantifying the cell adhesion forces that contribute to processes like tissue development, cell division, and bacterial infection; unravelling the molecular elasticity of cellular proteins; and elucidating how cells reassemble membrane receptors into nanodomains and modulate their functional state. In this Primer, we explain the basic principles of AFM and provide a snapshot of some of the exciting work being done in cell biology using this multifunctional tool.", "author" : [ { "dropping-particle" : "", "family" : "M\u00fcller", "given" : "Daniel J", "non-dropping-particle" : "", "parse-names" : false, "suffix" : "" }, { "dropping-particle" : "", "family" : "Dufr\u00eane", "given" : "Yves F", "non-dropping-particle" : "", "parse-names" : false, "suffix" : "" } ], "container-title" : "Current Biology", "id" : "ITEM-1", "issue" : "6", "issued" : { "date-parts" : [ [ "2011" ] ] }, "page" : "R212-R216", "publisher" : "Elsevier", "title" : "Force nanoscopy of living cells", "type" : "article-journal", "volume" : "21" }, "uris" : [ "http://www.mendeley.com/documents/?uuid=56582185-42ea-429d-9e06-0b7d9f31fa65" ] } ], "mendeley" : { "formattedCitation" : "&lt;sup&gt;37&lt;/sup&gt;", "plainTextFormattedCitation" : "37", "previouslyFormattedCitation" : "&lt;sup&gt;37&lt;/sup&gt;" }, "properties" : { "noteIndex" : 0 }, "schema" : "https://github.com/citation-style-language/schema/raw/master/csl-citation.json" }</w:instrText>
      </w:r>
      <w:r w:rsidR="00B43940" w:rsidRPr="00541955">
        <w:rPr>
          <w:kern w:val="24"/>
          <w:shd w:val="clear" w:color="auto" w:fill="FFFFFF"/>
        </w:rPr>
        <w:fldChar w:fldCharType="separate"/>
      </w:r>
      <w:r w:rsidR="00234D1C" w:rsidRPr="00541955">
        <w:rPr>
          <w:noProof/>
          <w:kern w:val="24"/>
          <w:shd w:val="clear" w:color="auto" w:fill="FFFFFF"/>
          <w:vertAlign w:val="superscript"/>
        </w:rPr>
        <w:t>2</w:t>
      </w:r>
      <w:r w:rsidRPr="00541955">
        <w:rPr>
          <w:noProof/>
          <w:kern w:val="24"/>
          <w:shd w:val="clear" w:color="auto" w:fill="FFFFFF"/>
          <w:vertAlign w:val="superscript"/>
        </w:rPr>
        <w:t>7</w:t>
      </w:r>
      <w:r w:rsidR="00B43940" w:rsidRPr="00541955">
        <w:rPr>
          <w:kern w:val="24"/>
          <w:shd w:val="clear" w:color="auto" w:fill="FFFFFF"/>
        </w:rPr>
        <w:fldChar w:fldCharType="end"/>
      </w:r>
      <w:r>
        <w:rPr>
          <w:kern w:val="24"/>
          <w:shd w:val="clear" w:color="auto" w:fill="FFFFFF"/>
        </w:rPr>
        <w:t xml:space="preserve"> </w:t>
      </w:r>
      <w:r w:rsidRPr="00541955">
        <w:rPr>
          <w:kern w:val="24"/>
          <w:shd w:val="clear" w:color="auto" w:fill="FFFFFF"/>
        </w:rPr>
        <w:t>As a result, SFS has been crucial to systematically check the effective immuno-recognition due to different adhesion layers.</w:t>
      </w:r>
    </w:p>
    <w:p w:rsidR="0043358E" w:rsidRPr="00227A92" w:rsidRDefault="0043358E" w:rsidP="0043358E">
      <w:pPr>
        <w:pStyle w:val="TAMainText"/>
        <w:ind w:left="202" w:firstLine="518"/>
      </w:pPr>
      <w:r w:rsidRPr="00541955">
        <w:t>These surface treatments have been used to functionalize the EGOFET gate electrode that, when immersed in the electrolyte solution, binds and detects the biomolecule of interest.</w:t>
      </w:r>
      <w:r w:rsidRPr="00227A92">
        <w:t xml:space="preserve"> </w:t>
      </w:r>
      <w:r>
        <w:t>A</w:t>
      </w:r>
      <w:r w:rsidRPr="00227A92">
        <w:t xml:space="preserve"> number of local binding events </w:t>
      </w:r>
      <w:r w:rsidRPr="00541955">
        <w:t>occurs</w:t>
      </w:r>
      <w:r>
        <w:t xml:space="preserve"> </w:t>
      </w:r>
      <w:r w:rsidRPr="00227A92">
        <w:t xml:space="preserve">at the gate electrode </w:t>
      </w:r>
      <w:r w:rsidRPr="00541955">
        <w:t>leading</w:t>
      </w:r>
      <w:r w:rsidRPr="00227A92">
        <w:t xml:space="preserve"> to a potential change.</w:t>
      </w:r>
      <w:r w:rsidR="00B43940" w:rsidRPr="00541955">
        <w:fldChar w:fldCharType="begin" w:fldLock="1"/>
      </w:r>
      <w:r w:rsidRPr="00541955">
        <w:instrText>ADDIN CSL_CITATION { "citationItems" : [ { "id" : "ITEM-1", "itemData" : { "DOI" : "10.1002/adma.201400263", "ISSN" : "1521-4095", "PMID" : "24644020", "author" : [ { "dropping-particle" : "", "family" : "Campana", "given" : "Alessandra", "non-dropping-particle" : "", "parse-names" : false, "suffix" : "" }, { "dropping-particle" : "", "family" : "Cramer", "given" : "Tobias", "non-dropping-particle" : "", "parse-names" : false, "suffix" : "" }, { "dropping-particle" : "", "family" : "Simon", "given" : "Daniel T", "non-dropping-particle" : "", "parse-names" : false, "suffix" : "" }, { "dropping-particle" : "", "family" : "Berggren", "given" : "Magnus", "non-dropping-particle" : "", "parse-names" : false, "suffix" : "" }, { "dropping-particle" : "", "family" : "Biscarini", "given" : "Fabio", "non-dropping-particle" : "", "parse-names" : false, "suffix" : "" } ], "container-title" : "Advanced materials (Deerfield Beach, Fla.)", "id" : "ITEM-1", "issue" : "23", "issued" : { "date-parts" : [ [ "2014", "6", "18" ] ] }, "page" : "3874-3878", "title" : "Electrocardiographic recording with conformable organic electrochemical transistor fabricated on resorbable bioscaffold.", "type" : "article-journal", "volume" : "26" }, "uris" : [ "http://www.mendeley.com/documents/?uuid=14ff0d21-0b6e-4bbf-b22f-9a526731b27e" ] }, { "id" : "ITEM-2", "itemData" : { "DOI" : "10.1039/c3cp44251a", "ISSN" : "1463-9084", "PMID" : "23400105", "abstract" : "Electronic transducers of neuronal cellular activity are important devices in neuroscience and neurology. Organic field-effect transistors (OFETs) offer tailored surface chemistry, mechanical flexibility, and high sensitivity to electrostatic potential changes at device interfaces. These properties make them attractive for interfacing electronics with neural cells and performing extracellular recordings and stimulation of neuronal network activity. In this work we operate pentacene ultra-thin film (9 nm thick) transistors with a liquid gate both as transducers and electrical stimulators of neuronal network activity. These devices are highly sensitive to small potential changes in cell medium and exhibit sufficient stability under standard cell culture conditions for nine days. We show that murine neural stem cells can be adhered on top of functional devices without the need for an additional layer of cell-adhesive molecules, and then differentiated into neuronal networks. OFET response is monitored during the different phases of the neuronal differentiation process up to nine days. Only when stem cells are differentiated into neurons, it is possible to measure electrical signals in the OFET current following the stimulation. Due to the large sensing area of our device, which accommodates from hundreds to thousands of interconnected neurons, the OFET electrical signals arise from the collective electrophysiological response of the neuronal population. The maximum extracellular potential change in the cleft region adjacent to the transistor surface amounts to 350 \u03bcV. This demonstrates that pentacene ultra-thin film OFETs enable good cellular adhesion and efficient coupling of the ionic currents at the biological-organic semiconductor interface with the OFET current.", "author" : [ { "dropping-particle" : "", "family" : "Cramer", "given" : "Tobias", "non-dropping-particle" : "", "parse-names" : false, "suffix" : "" }, { "dropping-particle" : "", "family" : "Chelli", "given" : "Beatrice", "non-dropping-particle" : "", "parse-names" : false, "suffix" : "" }, { "dropping-particle" : "", "family" : "Murgia", "given" : "Mauro", "non-dropping-particle" : "", "parse-names" : false, "suffix" : "" }, { "dropping-particle" : "", "family" : "Barbalinardo", "given" : "Marianna", "non-dropping-particle" : "", "parse-names" : false, "suffix" : "" }, { "dropping-particle" : "", "family" : "Bystrenova", "given" : "Eva", "non-dropping-particle" : "", "parse-names" : false, "suffix" : "" }, { "dropping-particle" : "", "family" : "Leeuw", "given" : "Dago M", "non-dropping-particle" : "de", "parse-names" : false, "suffix" : "" }, { "dropping-particle" : "", "family" : "Biscarini", "given" : "Fabio", "non-dropping-particle" : "", "parse-names" : false, "suffix" : "" } ], "container-title" : "Physical chemistry chemical physics : PCCP", "id" : "ITEM-2", "issue" : "11", "issued" : { "date-parts" : [ [ "2013", "3", "21" ] ] }, "page" : "3897-3905", "title" : "Organic ultra-thin film transistors with a liquid gate for extracellular stimulation and recording of electric activity of stem cell-derived neuronal networks.", "type" : "article-journal", "volume" : "15" }, "uris" : [ "http://www.mendeley.com/documents/?uuid=c38269d7-8b14-4c7f-9935-45b1baa3b966" ] }, { "id" : "ITEM-3", "itemData" : { "DOI" : "10.1038/ncomms2573", "ISSN" : "2041-1723", "PMID" : "23481383", "abstract" : "In vivo electrophysiological recordings of neuronal circuits are necessary for diagnostic purposes and for brain-machine interfaces. Organic electronic devices constitute a promising candidate because of their mechanical flexibility and biocompatibility. Here we demonstrate the engineering of an organic electrochemical transistor embedded in an ultrathin organic film designed to record electrophysiological signals on the surface of the brain. The device, tested in vivo on epileptiform discharges, displayed superior signal-to-noise ratio due to local amplification compared with surface electrodes. The organic transistor was able to record on the surface low-amplitude brain activities, which were poorly resolved with surface electrodes. This study introduces a new class of biocompatible, highly flexible devices for recording brain activity with superior signal-to-noise ratio that hold great promise for medical applications.", "author" : [ { "dropping-particle" : "", "family" : "Khodagholy", "given" : "Dion", "non-dropping-particle" : "", "parse-names" : false, "suffix" : "" }, { "dropping-particle" : "", "family" : "Doublet", "given" : "Thomas", "non-dropping-particle" : "", "parse-names" : false, "suffix" : "" }, { "dropping-particle" : "", "family" : "Quilichini", "given" : "Pascale", "non-dropping-particle" : "", "parse-names" : false, "suffix" : "" }, { "dropping-particle" : "", "family" : "Gurfinkel", "given" : "Moshe", "non-dropping-particle" : "", "parse-names" : false, "suffix" : "" }, { "dropping-particle" : "", "family" : "Leleux", "given" : "Pierre", "non-dropping-particle" : "", "parse-names" : false, "suffix" : "" }, { "dropping-particle" : "", "family" : "Ghestem", "given" : "Antoine", "non-dropping-particle" : "", "parse-names" : false, "suffix" : "" }, { "dropping-particle" : "", "family" : "Ismailova", "given" : "Esma", "non-dropping-particle" : "", "parse-names" : false, "suffix" : "" }, { "dropping-particle" : "", "family" : "Herv\u00e9", "given" : "Thierry", "non-dropping-particle" : "", "parse-names" : false, "suffix" : "" }, { "dropping-particle" : "", "family" : "Sanaur", "given" : "S\u00e9bastien", "non-dropping-particle" : "", "parse-names" : false, "suffix" : "" }, { "dropping-particle" : "", "family" : "Bernard", "given" : "Christophe", "non-dropping-particle" : "", "parse-names" : false, "suffix" : "" }, { "dropping-particle" : "", "family" : "Malliaras", "given" : "George G", "non-dropping-particle" : "", "parse-names" : false, "suffix" : "" } ], "container-title" : "Nature communications", "id" : "ITEM-3", "issued" : { "date-parts" : [ [ "2013", "1" ] ] }, "page" : "1-7", "title" : "In vivo recordings of brain activity using organic transistors.", "type" : "article-journal", "volume" : "4" }, "uris" : [ "http://www.mendeley.com/documents/?uuid=93a734f9-6c8b-4b9d-a7f3-284e7c69f2d4" ] } ], "mendeley" : { "formattedCitation" : "&lt;sup&gt;17\u201319&lt;/sup&gt;", "plainTextFormattedCitation" : "17\u201319", "previouslyFormattedCitation" : "&lt;sup&gt;17\u201319&lt;/sup&gt;" }, "properties" : { "noteIndex" : 0 }, "schema" : "https://github.com/citation-style-language/schema/raw/master/csl-citation.json" }</w:instrText>
      </w:r>
      <w:r w:rsidR="00B43940" w:rsidRPr="00541955">
        <w:fldChar w:fldCharType="separate"/>
      </w:r>
      <w:r w:rsidR="00234D1C" w:rsidRPr="00541955">
        <w:rPr>
          <w:noProof/>
          <w:vertAlign w:val="superscript"/>
        </w:rPr>
        <w:t>28</w:t>
      </w:r>
      <w:r w:rsidRPr="00541955">
        <w:rPr>
          <w:noProof/>
          <w:vertAlign w:val="superscript"/>
        </w:rPr>
        <w:t>–</w:t>
      </w:r>
      <w:r w:rsidR="00234D1C" w:rsidRPr="00541955">
        <w:rPr>
          <w:noProof/>
          <w:vertAlign w:val="superscript"/>
        </w:rPr>
        <w:t>30</w:t>
      </w:r>
      <w:r w:rsidR="00B43940" w:rsidRPr="00541955">
        <w:fldChar w:fldCharType="end"/>
      </w:r>
      <w:r w:rsidRPr="00227A92">
        <w:t xml:space="preserve"> This change affects the electrostatic potential at the electrolyte solution/organic semiconductor interface, which couples to the semiconductor channel </w:t>
      </w:r>
      <w:r w:rsidRPr="00541955">
        <w:rPr>
          <w:i/>
        </w:rPr>
        <w:t>via</w:t>
      </w:r>
      <w:r w:rsidRPr="00227A92">
        <w:t xml:space="preserve"> the capacitance </w:t>
      </w:r>
      <w:r w:rsidRPr="00227A92">
        <w:rPr>
          <w:i/>
        </w:rPr>
        <w:t>C</w:t>
      </w:r>
      <w:r w:rsidRPr="00227A92">
        <w:rPr>
          <w:i/>
          <w:vertAlign w:val="subscript"/>
        </w:rPr>
        <w:t>DL</w:t>
      </w:r>
      <w:r w:rsidRPr="00227A92">
        <w:t xml:space="preserve"> of the Debye-Helmholtz layer. Being </w:t>
      </w:r>
      <w:r w:rsidRPr="00227A92">
        <w:rPr>
          <w:i/>
        </w:rPr>
        <w:t>C</w:t>
      </w:r>
      <w:r w:rsidRPr="00227A92">
        <w:rPr>
          <w:i/>
          <w:vertAlign w:val="subscript"/>
        </w:rPr>
        <w:t>DL</w:t>
      </w:r>
      <w:r w:rsidRPr="00227A92">
        <w:t xml:space="preserve"> on the order of 10-20 </w:t>
      </w:r>
      <w:r w:rsidRPr="00227A92">
        <w:rPr>
          <w:rFonts w:ascii="Symbol" w:hAnsi="Symbol"/>
        </w:rPr>
        <w:t></w:t>
      </w:r>
      <w:r w:rsidRPr="00227A92">
        <w:t>F/cm</w:t>
      </w:r>
      <w:r w:rsidRPr="00227A92">
        <w:rPr>
          <w:kern w:val="24"/>
          <w:vertAlign w:val="superscript"/>
        </w:rPr>
        <w:t>2</w:t>
      </w:r>
      <w:r w:rsidRPr="00227A92">
        <w:t>,</w:t>
      </w:r>
      <w:r w:rsidR="00B43940" w:rsidRPr="00541955">
        <w:fldChar w:fldCharType="begin" w:fldLock="1"/>
      </w:r>
      <w:r w:rsidRPr="00541955">
        <w:instrText>ADDIN CSL_CITATION { "citationItems" : [ { "id" : "ITEM-1", "itemData" : { "DOI" : "10.1063/1.3699218", "ISSN" : "00036951", "author" : [ { "dropping-particle" : "", "family" : "Cramer", "given" : "T.", "non-dropping-particle" : "", "parse-names" : false, "suffix" : "" }, { "dropping-particle" : "", "family" : "Kyndiah", "given" : "a.", "non-dropping-particle" : "", "parse-names" : false, "suffix" : "" }, { "dropping-particle" : "", "family" : "Murgia", "given" : "M.", "non-dropping-particle" : "", "parse-names" : false, "suffix" : "" }, { "dropping-particle" : "", "family" : "Leonardi", "given" : "F.", "non-dropping-particle" : "", "parse-names" : false, "suffix" : "" }, { "dropping-particle" : "", "family" : "Casalini", "given" : "S.", "non-dropping-particle" : "", "parse-names" : false, "suffix" : "" }, { "dropping-particle" : "", "family" : "Biscarini", "given" : "F.", "non-dropping-particle" : "", "parse-names" : false, "suffix" : "" } ], "container-title" : "Applied Physics Letters", "id" : "ITEM-1", "issue" : "14", "issued" : { "date-parts" : [ [ "2012" ] ] }, "page" : "143302", "title" : "Double layer capacitance measured by organic field effect transistor operated in water", "type" : "article-journal", "volume" : "100" }, "uris" : [ "http://www.mendeley.com/documents/?uuid=17c32887-5f46-40ce-9aef-a092c9bc5b5e" ] } ], "mendeley" : { "formattedCitation" : "&lt;sup&gt;20&lt;/sup&gt;", "plainTextFormattedCitation" : "20", "previouslyFormattedCitation" : "&lt;sup&gt;20&lt;/sup&gt;" }, "properties" : { "noteIndex" : 0 }, "schema" : "https://github.com/citation-style-language/schema/raw/master/csl-citation.json" }</w:instrText>
      </w:r>
      <w:r w:rsidR="00B43940" w:rsidRPr="00541955">
        <w:fldChar w:fldCharType="separate"/>
      </w:r>
      <w:r w:rsidR="00234D1C" w:rsidRPr="00541955">
        <w:rPr>
          <w:noProof/>
          <w:vertAlign w:val="superscript"/>
        </w:rPr>
        <w:t>31</w:t>
      </w:r>
      <w:r w:rsidR="00B43940" w:rsidRPr="00541955">
        <w:fldChar w:fldCharType="end"/>
      </w:r>
      <w:r w:rsidRPr="00227A92">
        <w:t xml:space="preserve"> EGOFET responds to changes of potential as low as 50-100 </w:t>
      </w:r>
      <w:r w:rsidRPr="00227A92">
        <w:rPr>
          <w:rFonts w:ascii="Symbol" w:hAnsi="Symbol"/>
        </w:rPr>
        <w:t></w:t>
      </w:r>
      <w:r w:rsidRPr="00227A92">
        <w:t>V.</w:t>
      </w:r>
      <w:r w:rsidR="00B43940" w:rsidRPr="00541955">
        <w:fldChar w:fldCharType="begin" w:fldLock="1"/>
      </w:r>
      <w:r w:rsidRPr="00541955">
        <w:instrText>ADDIN CSL_CITATION { "citationItems" : [ { "id" : "ITEM-1", "itemData" : { "DOI" : "10.1039/c3tb20340a", "ISSN" : "2050-750X", "author" : [ { "dropping-particle" : "", "family" : "Cramer", "given" : "T.", "non-dropping-particle" : "", "parse-names" : false, "suffix" : "" }, { "dropping-particle" : "", "family" : "Campana", "given" : "A.", "non-dropping-particle" : "", "parse-names" : false, "suffix" : "" }, { "dropping-particle" : "", "family" : "Leonardi", "given" : "F.", "non-dropping-particle" : "", "parse-names" : false, "suffix" : "" }, { "dropping-particle" : "", "family" : "Casalini", "given" : "S.", "non-dropping-particle" : "", "parse-names" : false, "suffix" : "" }, { "dropping-particle" : "", "family" : "Kyndiah", "given" : "A.", "non-dropping-particle" : "", "parse-names" : false, "suffix" : "" }, { "dropping-particle" : "", "family" : "Murgia", "given" : "M.", "non-dropping-particle" : "", "parse-names" : false, "suffix" : "" }, { "dropping-particle" : "", "family" : "Biscarini", "given" : "F.", "non-dropping-particle" : "", "parse-names" : false, "suffix" : "" } ], "container-title" : "Journal of Materials Chemistry B", "id" : "ITEM-1", "issued" : { "date-parts" : [ [ "2013" ] ] }, "page" : "3728-3741", "title" : "Water-gated organic field effect transistors \u2013 opportunities for biochemical sensing and extracellular signal transduction", "type" : "article-journal", "volume" : "1" }, "uris" : [ "http://www.mendeley.com/documents/?uuid=8d821372-f65b-452e-9ef7-efb42ba0f434" ] } ], "mendeley" : { "formattedCitation" : "&lt;sup&gt;21&lt;/sup&gt;", "plainTextFormattedCitation" : "21", "previouslyFormattedCitation" : "&lt;sup&gt;21&lt;/sup&gt;" }, "properties" : { "noteIndex" : 0 }, "schema" : "https://github.com/citation-style-language/schema/raw/master/csl-citation.json" }</w:instrText>
      </w:r>
      <w:r w:rsidR="00B43940" w:rsidRPr="00541955">
        <w:fldChar w:fldCharType="separate"/>
      </w:r>
      <w:r w:rsidR="00234D1C" w:rsidRPr="00541955">
        <w:rPr>
          <w:noProof/>
          <w:vertAlign w:val="superscript"/>
        </w:rPr>
        <w:t>32</w:t>
      </w:r>
      <w:r w:rsidR="00B43940" w:rsidRPr="00541955">
        <w:fldChar w:fldCharType="end"/>
      </w:r>
      <w:r w:rsidRPr="00227A92">
        <w:t xml:space="preserve"> These correspond approximately to a few recognition events per 100x100 nm</w:t>
      </w:r>
      <w:r w:rsidRPr="00227A92">
        <w:rPr>
          <w:vertAlign w:val="superscript"/>
        </w:rPr>
        <w:t>2</w:t>
      </w:r>
      <w:r w:rsidRPr="00227A92">
        <w:t xml:space="preserve"> area of the device. Considering an active channel area </w:t>
      </w:r>
      <w:r w:rsidRPr="00227A92">
        <w:rPr>
          <w:i/>
        </w:rPr>
        <w:t>A</w:t>
      </w:r>
      <w:r w:rsidRPr="00227A92">
        <w:t>=</w:t>
      </w:r>
      <w:r w:rsidRPr="00227A92">
        <w:rPr>
          <w:i/>
        </w:rPr>
        <w:t xml:space="preserve">W·L </w:t>
      </w:r>
      <w:r w:rsidRPr="00227A92">
        <w:t xml:space="preserve">given by width </w:t>
      </w:r>
      <w:r w:rsidRPr="00227A92">
        <w:rPr>
          <w:i/>
        </w:rPr>
        <w:t>W</w:t>
      </w:r>
      <w:r w:rsidRPr="00227A92">
        <w:t xml:space="preserve"> multiplied by length L, EGOFET with </w:t>
      </w:r>
      <w:r w:rsidRPr="00227A92">
        <w:rPr>
          <w:i/>
        </w:rPr>
        <w:t>A</w:t>
      </w:r>
      <w:r w:rsidRPr="00227A92">
        <w:t>=</w:t>
      </w:r>
      <w:r w:rsidR="00B50C58">
        <w:t>0.5</w:t>
      </w:r>
      <w:r w:rsidRPr="00227A92">
        <w:t xml:space="preserve"> mm</w:t>
      </w:r>
      <w:r w:rsidRPr="00227A92">
        <w:rPr>
          <w:vertAlign w:val="superscript"/>
        </w:rPr>
        <w:t>2</w:t>
      </w:r>
      <w:r w:rsidRPr="00227A92">
        <w:t xml:space="preserve"> responds to 10-100 million recognition events occurring on the device. EGOFETs were shown to transduce signals in neuronal cell populations, sub-nM concentration of neurotransmitters</w:t>
      </w:r>
      <w:r w:rsidR="00234D1C" w:rsidRPr="00234D1C">
        <w:rPr>
          <w:vertAlign w:val="superscript"/>
        </w:rPr>
        <w:t>33</w:t>
      </w:r>
      <w:r w:rsidRPr="00227A92">
        <w:t xml:space="preserve"> and DNA,</w:t>
      </w:r>
      <w:r w:rsidR="00234D1C" w:rsidRPr="00541955">
        <w:rPr>
          <w:vertAlign w:val="superscript"/>
        </w:rPr>
        <w:t>34</w:t>
      </w:r>
      <w:r w:rsidRPr="00227A92">
        <w:t xml:space="preserve"> local pH changes (9mV/pH),</w:t>
      </w:r>
      <w:r w:rsidR="00234D1C" w:rsidRPr="00541955">
        <w:rPr>
          <w:vertAlign w:val="superscript"/>
        </w:rPr>
        <w:t>35</w:t>
      </w:r>
      <w:r w:rsidRPr="00227A92">
        <w:t xml:space="preserve"> penicillin</w:t>
      </w:r>
      <w:r w:rsidR="00234D1C" w:rsidRPr="00234D1C">
        <w:rPr>
          <w:vertAlign w:val="superscript"/>
        </w:rPr>
        <w:t>36</w:t>
      </w:r>
      <w:r w:rsidRPr="00227A92">
        <w:t xml:space="preserve"> and biotin-streptavidin hybridization.</w:t>
      </w:r>
      <w:r w:rsidR="00234D1C" w:rsidRPr="00541955">
        <w:rPr>
          <w:vertAlign w:val="superscript"/>
        </w:rPr>
        <w:t>37</w:t>
      </w:r>
      <w:r w:rsidRPr="00227A92">
        <w:t xml:space="preserve"> </w:t>
      </w:r>
      <w:r w:rsidRPr="00541955">
        <w:t>In this work we use an EGOFET with 15 nm thick pentacene film as transport channel.</w:t>
      </w:r>
    </w:p>
    <w:p w:rsidR="0043358E" w:rsidRPr="00227A92" w:rsidRDefault="0043358E" w:rsidP="0043358E">
      <w:pPr>
        <w:pStyle w:val="TAMainText"/>
        <w:ind w:left="202" w:firstLine="518"/>
      </w:pPr>
      <w:r w:rsidRPr="00227A92">
        <w:t>Here the analytical target is interleukin-4 (IL4), an anti-inflammatory cytokine relevant in several pathologies.</w:t>
      </w:r>
      <w:r w:rsidR="00B43940" w:rsidRPr="00541955">
        <w:fldChar w:fldCharType="begin" w:fldLock="1"/>
      </w:r>
      <w:r w:rsidRPr="00541955">
        <w:instrText>ADDIN CSL_CITATION { "citationItems" : [ { "id" : "ITEM-1", "itemData" : { "author" : [ { "dropping-particle" : "", "family" : "Ledeboer", "given" : "Annemarie", "non-dropping-particle" : "", "parse-names" : false, "suffix" : "" }, { "dropping-particle" : "", "family" : "Brev\u00e9", "given" : "John J P", "non-dropping-particle" : "", "parse-names" : false, "suffix" : "" }, { "dropping-particle" : "", "family" : "Poole", "given" : "Stephen", "non-dropping-particle" : "", "parse-names" : false, "suffix" : "" }, { "dropping-particle" : "", "family" : "Tilders", "given" : "Fred J H", "non-dropping-particle" : "", "parse-names" : false, "suffix" : "" }, { "dropping-particle" : "", "family" : "Dam", "given" : "Anne-marie V A N", "non-dropping-particle" : "", "parse-names" : false, "suffix" : "" } ], "container-title" : "Glia", "id" : "ITEM-1", "issued" : { "date-parts" : [ [ "2000" ] ] }, "page" : "134-142", "title" : "Interleukin-10, interleukin-4 and transforming growth factor-beta differentially regulate lipopolysaccharide-induced production of pro-inflammatory cytokines and nitric oxide in co-cultures of rat astroglial and microglial cells", "type" : "article-journal", "volume" : "30" }, "uris" : [ "http://www.mendeley.com/documents/?uuid=853a5fe3-586c-46d8-a8a9-67d3b17d8d45" ] }, { "id" : "ITEM-2", "itemData" : { "DOI" : "10.1002/jnr.10254", "ISSN" : "0360-4012", "PMID" : "12111847", "abstract" : "The activity of microglial cells is strictly controlled in order to maintain central nervous system (CNS) immune privilege. We hypothesized that several immunomodulatory factors present in the CNS parenchyma, i.e., the Th2-derived cytokines interleukin (IL)-4 and IL-10, interleukin-1-receptor-antagonist (IL-1-ra), or transforming growth factor (TGF)-beta can modulate microglial morphology and functions. Microglial cells were incubated with IL-4, IL-10, IL-1-ra, TGF-beta, or with astrocyte conditioned media (ACM) and were analyzed for morphological changes, expression of intercellular adhesion molecule (ICAM)-1, and secretion of IL-1beta or tumor necrosis factor (TNF)-alpha. Whereas untreated controls showed an amoeboid morphology both Th2-derived cytokines, IL-1-ra, and ACM induced a morphological transformation to the ramified phenotype. In contrast, TGF-beta-treated microglial cells showed an amoeboid morphology. Even combined with the neutralizing antibodies against IL-4, IL-10, or TGF-beta ACM induced microglial ramification. Furthermore, ACM did not contain relevant amounts of IL-4 and IL-10, as measured by enzyme-linked immunosorbent assay (ELISA). Flow cytometry showed that lipopolysaccharide (LPS)-induced ICAM-1-expression on microglial cells was strongly suppressed by ACM, significantly modulated by IL-4, IL-10, or IL-1-ra, but not influenced by TGF-beta. The LPS-induced secretion of IL-1beta and TNF-alpha was only reduced after application of ACM, whereas IL-4 or IL-10 did not inhibit IL-1beta- or TNF-alpha secretion. TGF-beta enhanced IL-1beta- but not TNF-alpha secretion. In summary, we demonstrate that IL-4, IL-10, and IL-1-ra induce microglial ramification and reduce ICAM-1-expression, whereas the secretion of proinflammatory cytokines is not prevented. TGF-beta has no modulating effects. Importantly, unidentified astrocytic factors that are not identical with IL-4, IL-10, or TGF-beta possess strong immunomodulatory properties.", "author" : [ { "dropping-particle" : "", "family" : "Wirjatijasa", "given" : "Florentina", "non-dropping-particle" : "", "parse-names" : false, "suffix" : "" }, { "dropping-particle" : "", "family" : "Dehghani", "given" : "Faramarz", "non-dropping-particle" : "", "parse-names" : false, "suffix" : "" }, { "dropping-particle" : "", "family" : "Blaheta", "given" : "Roman a", "non-dropping-particle" : "", "parse-names" : false, "suffix" : "" }, { "dropping-particle" : "", "family" : "Korf", "given" : "Horst-Werner", "non-dropping-particle" : "", "parse-names" : false, "suffix" : "" }, { "dropping-particle" : "", "family" : "Hailer", "given" : "Nils P", "non-dropping-particle" : "", "parse-names" : false, "suffix" : "" } ], "container-title" : "Journal of neuroscience research", "id" : "ITEM-2", "issue" : "5", "issued" : { "date-parts" : [ [ "2002", "6", "1" ] ] }, "page" : "579-587", "title" : "Interleukin-4, interleukin-10, and interleukin-1-receptor antagonist but not transforming growth factor-beta induce ramification and reduce adhesion molecule expression of rat microglial cells.", "type" : "article-journal", "volume" : "68" }, "uris" : [ "http://www.mendeley.com/documents/?uuid=775905f6-acab-40f9-9112-b2860d06952a" ] }, { "id" : "ITEM-3", "itemData" : { "DOI" : "10.1002/glia.10057", "ISSN" : "0894-1491", "PMID" : "12007140", "abstract" : "When the brain suffers injury, microglia migrate to the damaged sites and become activated. These activated microglia are not detected several days later and the mechanisms underlying their disappearance are not well characterized. In this study, we demonstrate that interleukin (IL)-13, an anti-inflammatory cytokine, selectively induces cell death of activated microglia in vitro. Cell death was detected 4 days after the coaddition of IL-13 with any one of the microglial activators, lipopolysaccharide (LPS), ganglioside, or thrombin. This cell death occurred in a time-dependent manner. LPS, ganglioside, thrombin, or IL-13 alone did not induce cell death. Among anti-inflammatory cytokines, IL-4 mimicked the effect of IL-13, while TGF-beta did not. Cells treated with IL-13 plus LPS, or IL-13 plus ganglioside, showed the characteristics of apoptosis when analyzed by electron microscopy and terminal deoxynucleotidyl transferase-mediated dUTP nick end labeling staining. Electron micrographs also showed microglia engulfing neighboring dead cells. We propose that IL-13 and IL-4 induce death of activated microglia, and that this process is important for prevention of chronic inflammation that can cause tissue damage.", "author" : [ { "dropping-particle" : "", "family" : "Yang", "given" : "Myung-Soon", "non-dropping-particle" : "", "parse-names" : false, "suffix" : "" }, { "dropping-particle" : "", "family" : "Park", "given" : "Eun Jung", "non-dropping-particle" : "", "parse-names" : false, "suffix" : "" }, { "dropping-particle" : "", "family" : "Sohn", "given" : "Seonghyang", "non-dropping-particle" : "", "parse-names" : false, "suffix" : "" }, { "dropping-particle" : "", "family" : "Kwon", "given" : "Hyuk Jae", "non-dropping-particle" : "", "parse-names" : false, "suffix" : "" }, { "dropping-particle" : "", "family" : "Shin", "given" : "Won-Ho", "non-dropping-particle" : "", "parse-names" : false, "suffix" : "" }, { "dropping-particle" : "", "family" : "Pyo", "given" : "Han Kyung", "non-dropping-particle" : "", "parse-names" : false, "suffix" : "" }, { "dropping-particle" : "", "family" : "Jin", "given" : "Byungkwan", "non-dropping-particle" : "", "parse-names" : false, "suffix" : "" }, { "dropping-particle" : "", "family" : "Choi", "given" : "Kyeong Sook", "non-dropping-particle" : "", "parse-names" : false, "suffix" : "" }, { "dropping-particle" : "", "family" : "Jou", "given" : "Ilo", "non-dropping-particle" : "", "parse-names" : false, "suffix" : "" }, { "dropping-particle" : "", "family" : "Joe", "given" : "Eun-Hye", "non-dropping-particle" : "", "parse-names" : false, "suffix" : "" } ], "container-title" : "Glia", "id" : "ITEM-3", "issue" : "4", "issued" : { "date-parts" : [ [ "2002", "6" ] ] }, "page" : "273-280", "title" : "Interleukin-13 and -4 induce death of activated microglia.", "type" : "article-journal", "volume" : "38" }, "uris" : [ "http://www.mendeley.com/documents/?uuid=552d7859-0e17-4cb2-8786-e86052bf8f4d" ] }, { "id" : "ITEM-4", "itemData" : { "DOI" : "10.1002/jnr.22411", "ISBN" : "2009008146", "ISSN" : "1097-4547", "PMID" : "20623539", "abstract" : "Traumatic spinal cord injury (SCI) triggers inflammatory reactions in which various types of cells and cytokines are involved. Several proinflammatory cytokines are up-regulated after SCI and play crucial roles in determining the extent of secondary tissue damage. However, relatively little is known about antiinflammatory cytokines and their roles in spinal cord trauma. Recent studies have shown that an antiinflammatory cytokine, interleukin-4 (IL-4), is expressed and exerts various modulatory effects in CNS inflammation. We found in the present study that IL-4 was highly expressed at 24 hr after contusive SCI in rats and declined thereafter, with concurrent up-regulation of IL-4 receptor subunit IL-4alpha. The majority of IL-4-producing cells were myeloperoxidase-positive neutrophils. Injection of neutralizing antibody against IL-4 into the contused spinal cord did not significantly affect the expression levels of proinflammatory cytokines such as IL-1beta, IL-6, and tumor necrosis factor-alpha or other antiinflammatory cytokines such as IL-10 and transforming growth factor-beta. Instead, attenuation of IL-4 activity led to a marked increase in the extent of ED1-positive macrophage activation along the rostrocaudal extent at 7 days after injury. The enhanced macrophage activation was preceded by an increase in the level of monocyte chemoattractant protein-1 (MCP-1/CCL2). Finally, IL-4 neutralization resulted in more extensive cavitation at 4 weeks after injury. These results suggest that endogenous expression of antiinflammatory cytokine IL-4 regulates the extent of acute macrophage activation and confines the ensuing secondary cavity formation after spinal cord trauma.", "author" : [ { "dropping-particle" : "", "family" : "Lee", "given" : "Seung Ihm", "non-dropping-particle" : "", "parse-names" : false, "suffix" : "" }, { "dropping-particle" : "", "family" : "Jeong", "given" : "Soo Ryeong", "non-dropping-particle" : "", "parse-names" : false, "suffix" : "" }, { "dropping-particle" : "", "family" : "Kang", "given" : "Young Mi", "non-dropping-particle" : "", "parse-names" : false, "suffix" : "" }, { "dropping-particle" : "", "family" : "Han", "given" : "Dae Hee", "non-dropping-particle" : "", "parse-names" : false, "suffix" : "" }, { "dropping-particle" : "", "family" : "Jin", "given" : "Byung Kwan", "non-dropping-particle" : "", "parse-names" : false, "suffix" : "" }, { "dropping-particle" : "", "family" : "Namgung", "given" : "Uk", "non-dropping-particle" : "", "parse-names" : false, "suffix" : "" }, { "dropping-particle" : "", "family" : "Kim", "given" : "Byung G", "non-dropping-particle" : "", "parse-names" : false, "suffix" : "" } ], "container-title" : "Journal of neuroscience research", "id" : "ITEM-4", "issue" : "11", "issued" : { "date-parts" : [ [ "2010", "8", "15" ] ] }, "page" : "2409-2419", "title" : "Endogenous expression of interleukin-4 regulates macrophage activation and confines cavity formation after traumatic spinal cord injury.", "type" : "article-journal", "volume" : "88" }, "uris" : [ "http://www.mendeley.com/documents/?uuid=c953d6d4-a831-4a76-8f83-c38dc1c3a8c3" ] } ], "mendeley" : { "formattedCitation" : "&lt;sup&gt;38\u201341&lt;/sup&gt;", "plainTextFormattedCitation" : "38\u201341", "previouslyFormattedCitation" : "&lt;sup&gt;38\u201341&lt;/sup&gt;" }, "properties" : { "noteIndex" : 0 }, "schema" : "https://github.com/citation-style-language/schema/raw/master/csl-citation.json" }</w:instrText>
      </w:r>
      <w:r w:rsidR="00B43940" w:rsidRPr="00541955">
        <w:fldChar w:fldCharType="separate"/>
      </w:r>
      <w:r w:rsidRPr="00541955">
        <w:rPr>
          <w:noProof/>
          <w:vertAlign w:val="superscript"/>
        </w:rPr>
        <w:t>38–41</w:t>
      </w:r>
      <w:r w:rsidR="00B43940" w:rsidRPr="00541955">
        <w:fldChar w:fldCharType="end"/>
      </w:r>
      <w:r>
        <w:t xml:space="preserve"> </w:t>
      </w:r>
      <w:r w:rsidR="00DC73C9">
        <w:t>The s</w:t>
      </w:r>
      <w:r>
        <w:t xml:space="preserve">pecific recognition moiety is IL4 monoclonal antibody that is immobilized </w:t>
      </w:r>
      <w:r w:rsidRPr="00227A92">
        <w:t xml:space="preserve">on the gate electrode </w:t>
      </w:r>
      <w:r>
        <w:t>by means of two distinct strategies</w:t>
      </w:r>
      <w:r w:rsidRPr="00227A92">
        <w:rPr>
          <w:color w:val="auto"/>
        </w:rPr>
        <w:t>. The first is based on 6-aminohexanethiol (HSC6NH2) monolayer activated by glutaraldehyde.</w:t>
      </w:r>
      <w:r w:rsidR="00B43940" w:rsidRPr="00541955">
        <w:fldChar w:fldCharType="begin" w:fldLock="1"/>
      </w:r>
      <w:r w:rsidRPr="00541955">
        <w:instrText>ADDIN CSL_CITATION { "citationItems" : [ { "id" : "ITEM-1", "itemData" : { "DOI" : "10.1016/j.enzmictec.2006.01.014", "ISSN" : "01410229", "author" : [ { "dropping-particle" : "", "family" : "Betancor", "given" : "Lorena", "non-dropping-particle" : "", "parse-names" : false, "suffix" : "" }, { "dropping-particle" : "", "family" : "L\u00f3pez-Gallego", "given" : "Fernando", "non-dropping-particle" : "", "parse-names" : false, "suffix" : "" }, { "dropping-particle" : "", "family" : "Hidalgo", "given" : "Aurelio", "non-dropping-particle" : "", "parse-names" : false, "suffix" : "" }, { "dropping-particle" : "", "family" : "Alonso-Morales", "given" : "Noelia", "non-dropping-particle" : "", "parse-names" : false, "suffix" : "" }, { "dropping-particle" : "", "family" : "Mateo", "given" : "Gisela Dellamora-Ortiz Cesar", "non-dropping-particle" : "", "parse-names" : false, "suffix" : "" }, { "dropping-particle" : "", "family" : "Fern\u00e1ndez-Lafuente", "given" : "Roberto", "non-dropping-particle" : "", "parse-names" : false, "suffix" : "" }, { "dropping-particle" : "", "family" : "Guis\u00e1n", "given" : "Jose M.", "non-dropping-particle" : "", "parse-names" : false, "suffix" : "" } ], "container-title" : "Enzyme and Microbial Technology", "id" : "ITEM-1", "issue" : "4", "issued" : { "date-parts" : [ [ "2006", "8" ] ] }, "page" : "877-882", "title" : "Different mechanisms of protein immobilization on glutaraldehyde activated supports: Effect of support activation and immobilization conditions", "type" : "article-journal", "volume" : "39" }, "uris" : [ "http://www.mendeley.com/documents/?uuid=a6d85c9d-8d0a-4478-9e24-ab35b9b5db98" ] }, { "id" : "ITEM-2", "itemData" : { "DOI" : "10.1016/0165-9936(94)85023-2", "ISSN" : "01659936", "author" : [ { "dropping-particle" : "", "family" : "Walt", "given" : "David R.", "non-dropping-particle" : "", "parse-names" : false, "suffix" : "" }, { "dropping-particle" : "", "family" : "Agayn", "given" : "Venetka I.", "non-dropping-particle" : "", "parse-names" : false, "suffix" : "" } ], "container-title" : "Trends in Analytical Chemistry", "id" : "ITEM-2", "issue" : "10", "issued" : { "date-parts" : [ [ "1994", "11" ] ] }, "page" : "425-430", "title" : "The chemistry of enzyme and protein immobilization with glutaraldehyde", "type" : "article-journal", "volume" : "13" }, "uris" : [ "http://www.mendeley.com/documents/?uuid=1ee4e084-e4b3-46c2-a47d-6009ba4fc253" ] } ], "mendeley" : { "formattedCitation" : "&lt;sup&gt;42,43&lt;/sup&gt;", "plainTextFormattedCitation" : "42,43", "previouslyFormattedCitation" : "&lt;sup&gt;42,43&lt;/sup&gt;" }, "properties" : { "noteIndex" : 0 }, "schema" : "https://github.com/citation-style-language/schema/raw/master/csl-citation.json" }</w:instrText>
      </w:r>
      <w:r w:rsidR="00B43940" w:rsidRPr="00541955">
        <w:fldChar w:fldCharType="separate"/>
      </w:r>
      <w:r w:rsidRPr="00541955">
        <w:rPr>
          <w:noProof/>
          <w:vertAlign w:val="superscript"/>
        </w:rPr>
        <w:t>42,43</w:t>
      </w:r>
      <w:r w:rsidR="00B43940" w:rsidRPr="00541955">
        <w:fldChar w:fldCharType="end"/>
      </w:r>
      <w:r w:rsidRPr="00227A92">
        <w:rPr>
          <w:color w:val="auto"/>
        </w:rPr>
        <w:t xml:space="preserve"> </w:t>
      </w:r>
      <w:r w:rsidRPr="00227A92">
        <w:t xml:space="preserve">This functional approach guarantees chemical binding between </w:t>
      </w:r>
      <w:r>
        <w:t>Au</w:t>
      </w:r>
      <w:r w:rsidRPr="00227A92">
        <w:t xml:space="preserve"> and </w:t>
      </w:r>
      <w:r w:rsidRPr="00227A92">
        <w:rPr>
          <w:color w:val="auto"/>
        </w:rPr>
        <w:t>the side chains of the lysine residues in the Ab; however</w:t>
      </w:r>
      <w:r>
        <w:rPr>
          <w:color w:val="auto"/>
        </w:rPr>
        <w:t xml:space="preserve"> there is no</w:t>
      </w:r>
      <w:r w:rsidRPr="00227A92">
        <w:t xml:space="preserve"> </w:t>
      </w:r>
      <w:r>
        <w:t>c</w:t>
      </w:r>
      <w:r w:rsidRPr="00227A92">
        <w:t xml:space="preserve">ontrol </w:t>
      </w:r>
      <w:r>
        <w:t xml:space="preserve">on </w:t>
      </w:r>
      <w:r w:rsidRPr="00227A92">
        <w:t xml:space="preserve">the Ab orientation due to the natural abundance of lysine in the Ab backbone. The second strategy exploits the recombinant His-Tagged PG, </w:t>
      </w:r>
      <w:r w:rsidRPr="00227A92">
        <w:lastRenderedPageBreak/>
        <w:t xml:space="preserve">whose N-terminus side is tailored by a 6-histidine chain (6-His-Tag). His-Tags are well-known to </w:t>
      </w:r>
      <w:r w:rsidR="004E745F">
        <w:t>be bou</w:t>
      </w:r>
      <w:r w:rsidRPr="00227A92">
        <w:t xml:space="preserve">nd </w:t>
      </w:r>
      <w:r w:rsidR="004E745F">
        <w:t xml:space="preserve">on </w:t>
      </w:r>
      <w:r w:rsidRPr="00227A92">
        <w:t>polycrystalline Au.</w:t>
      </w:r>
      <w:r w:rsidR="00B43940" w:rsidRPr="00541955">
        <w:fldChar w:fldCharType="begin" w:fldLock="1"/>
      </w:r>
      <w:r w:rsidRPr="00541955">
        <w:instrText>ADDIN CSL_CITATION { "citationItems" : [ { "id" : "ITEM-1", "itemData" : { "DOI" : "10.1016/j.enganabound.2006.07.012", "ISSN" : "09557997", "author" : [ { "dropping-particle" : "", "family" : "Yang", "given" : "Zhenyu", "non-dropping-particle" : "", "parse-names" : false, "suffix" : "" }, { "dropping-particle" : "", "family" : "Zhao", "given" : "Ya-Pu", "non-dropping-particle" : "", "parse-names" : false, "suffix" : "" } ], "container-title" : "Engineering Analysis with Boundary Elements", "id" : "ITEM-1", "issue" : "5", "issued" : { "date-parts" : [ [ "2007", "5" ] ] }, "page" : "402-409", "title" : "Adsorption of His-tagged peptide to Ni, Cu and Au (100) surfaces: Molecular dynamics simulation", "type" : "article-journal", "volume" : "31" }, "uris" : [ "http://www.mendeley.com/documents/?uuid=dabfacb8-9d4c-40c3-b2df-ec09d2838f73" ] }, { "id" : "ITEM-2", "itemData" : { "author" : [ { "dropping-particle" : "", "family" : "Soong", "given" : "R K", "non-dropping-particle" : "", "parse-names" : false, "suffix" : "" }, { "dropping-particle" : "", "family" : "Stelick", "given" : "S J", "non-dropping-particle" : "", "parse-names" : false, "suffix" : "" }, { "dropping-particle" : "", "family" : "Bachand", "given" : "G D", "non-dropping-particle" : "", "parse-names" : false, "suffix" : "" }, { "dropping-particle" : "", "family" : "Montemagno", "given" : "C D", "non-dropping-particle" : "", "parse-names" : false, "suffix" : "" } ], "container-title" : "INTERNATIONAL CONFERENCE ON MODELING AND SIMULATION OF MICROSYSTEMS", "id" : "ITEM-2", "issued" : { "date-parts" : [ [ "1999" ] ] }, "page" : "95-98", "title" : "Evaluating Adhesion Strength of Biological Molecules to Nanofabricated Substrates", "type" : "paper-conference" }, "uris" : [ "http://www.mendeley.com/documents/?uuid=3a277920-6a12-4ea2-8c3f-dda69e6d8025" ] } ], "mendeley" : { "formattedCitation" : "&lt;sup&gt;44,45&lt;/sup&gt;", "plainTextFormattedCitation" : "44,45" }, "properties" : { "noteIndex" : 0 }, "schema" : "https://github.com/citation-style-language/schema/raw/master/csl-citation.json" }</w:instrText>
      </w:r>
      <w:r w:rsidR="00B43940" w:rsidRPr="00541955">
        <w:fldChar w:fldCharType="separate"/>
      </w:r>
      <w:r w:rsidRPr="00541955">
        <w:rPr>
          <w:noProof/>
          <w:vertAlign w:val="superscript"/>
        </w:rPr>
        <w:t>44,45</w:t>
      </w:r>
      <w:r w:rsidR="00B43940" w:rsidRPr="00541955">
        <w:fldChar w:fldCharType="end"/>
      </w:r>
      <w:r w:rsidRPr="00227A92">
        <w:t xml:space="preserve"> This affinity was already exploited for the fabrication of nano-mechanical motors based on the grafting of F1-ATPase on gold substrates.</w:t>
      </w:r>
      <w:r w:rsidR="00B43940" w:rsidRPr="00541955">
        <w:fldChar w:fldCharType="begin" w:fldLock="1"/>
      </w:r>
      <w:r w:rsidRPr="00541955">
        <w:instrText>ADDIN CSL_CITATION { "citationItems" : [ { "id" : "ITEM-1", "itemData" : { "author" : [ { "dropping-particle" : "", "family" : "Bachand", "given" : "George D", "non-dropping-particle" : "", "parse-names" : false, "suffix" : "" }, { "dropping-particle" : "", "family" : "Montemagno", "given" : "Carlo D", "non-dropping-particle" : "", "parse-names" : false, "suffix" : "" } ], "container-title" : "Biomedical Microdevices", "id" : "ITEM-1", "issued" : { "date-parts" : [ [ "2000" ] ] }, "page" : "179-184", "title" : "Constructing Organic / Inorganic NEMS Devices Powered by Biomolecular Motors", "type" : "article-journal", "volume" : "2:3" }, "uris" : [ "http://www.mendeley.com/documents/?uuid=ada7c435-295f-4a54-85d7-7fb620e22b64" ] } ], "mendeley" : { "formattedCitation" : "&lt;sup&gt;46&lt;/sup&gt;", "plainTextFormattedCitation" : "46", "previouslyFormattedCitation" : "&lt;sup&gt;46&lt;/sup&gt;" }, "properties" : { "noteIndex" : 0 }, "schema" : "https://github.com/citation-style-language/schema/raw/master/csl-citation.json" }</w:instrText>
      </w:r>
      <w:r w:rsidR="00B43940" w:rsidRPr="00541955">
        <w:fldChar w:fldCharType="separate"/>
      </w:r>
      <w:r w:rsidRPr="00541955">
        <w:rPr>
          <w:noProof/>
          <w:vertAlign w:val="superscript"/>
        </w:rPr>
        <w:t>46</w:t>
      </w:r>
      <w:r w:rsidR="00B43940" w:rsidRPr="00541955">
        <w:fldChar w:fldCharType="end"/>
      </w:r>
      <w:r w:rsidRPr="00227A92">
        <w:t xml:space="preserve"> His-Tagged PG forms an oriented layer which promotes Ab immobilization on the Au electrode.</w:t>
      </w:r>
      <w:r w:rsidR="00B43940" w:rsidRPr="00541955">
        <w:fldChar w:fldCharType="begin" w:fldLock="1"/>
      </w:r>
      <w:r w:rsidRPr="00541955">
        <w:instrText>ADDIN CSL_CITATION { "citationItems" : [ { "id" : "ITEM-1", "itemData" : { "DOI" : "10.1002/jbm.a.33025", "ISSN" : "1552-4965", "PMID" : "21308984", "abstract" : "As methods to orient proteins are conceived, techniques must also be developed that provide an accurate characterization of immobilized protein orientation. In this study, X-ray photoelectron spectroscopy (XPS), surface plasmon resonance (SPR), and time-of-flight secondary ion mass spectrometry (ToF-SIMS) were used to probe the orientation of a surface immobilized variant of the humanized anti-lysozyme variable fragment (HuLys Fv, 26 kDa). This protein contained both a hexahistidine tag and a cysteine residue, introduced at opposite ends of the HuLys Fv, for immobilization onto nitrilotriacetic acid (NTA) and maleimide oligo(ethylene glycol) (MEG)-terminated substrates, respectively. The thiol group on the cysteine residue selectively binds to the MEG groups, while the his-tag selectively binds to the Ni-loaded NTA groups. XPS was used to monitor protein coverage on both surfaces by following the change in the nitrogen atomic %. SPR results showed a 10-fold difference in lysozyme binding between the two different HuLys Fv orientations. The ToF-SIMS data provided a clear differentiation between the two samples due to the intensity differences of secondary ions originating from asymmetrically located amino acids in HuLys Fv (histidine: 81, 82, and 110 m/z; phenylalanine: 120 and 131 m/z). An intensity ratio of the secondary ion peaks from the histidine and phenylalanine residues at either end of the protein was then calculated directly from the ToF-SIMS data. The 45% change in this ratio, observed between the NTA and MEG substrates with similar HuLys Fv surface coverages, indicates that the HuLys Fv fragment has opposite orientations on two different surfaces. \u00a9 2011 Wiley Periodicals, Inc. J Biomed Mater Res Part A, 2011.", "author" : [ { "dropping-particle" : "", "family" : "Baio", "given" : "J E", "non-dropping-particle" : "", "parse-names" : false, "suffix" : "" }, { "dropping-particle" : "", "family" : "Cheng", "given" : "Fang", "non-dropping-particle" : "", "parse-names" : false, "suffix" : "" }, { "dropping-particle" : "", "family" : "Ratner", "given" : "Daniel M", "non-dropping-particle" : "", "parse-names" : false, "suffix" : "" }, { "dropping-particle" : "", "family" : "Stayton", "given" : "Patrick S", "non-dropping-particle" : "", "parse-names" : false, "suffix" : "" }, { "dropping-particle" : "", "family" : "Castner", "given" : "David G", "non-dropping-particle" : "", "parse-names" : false, "suffix" : "" } ], "container-title" : "Journal of biomedical materials research. Part A", "id" : "ITEM-1", "issued" : { "date-parts" : [ [ "2011", "2", "9" ] ] }, "page" : "1-7", "title" : "Probing orientation of immobilized humanized anti-lysozyme variable fragment by time-of-flight secondary-ion mass spectrometry.", "type" : "article-journal" }, "uris" : [ "http://www.mendeley.com/documents/?uuid=2c1d1654-1dbe-4f22-a294-7426ddce6ea6" ] } ], "mendeley" : { "formattedCitation" : "&lt;sup&gt;47&lt;/sup&gt;", "plainTextFormattedCitation" : "47", "previouslyFormattedCitation" : "&lt;sup&gt;47&lt;/sup&gt;" }, "properties" : { "noteIndex" : 0 }, "schema" : "https://github.com/citation-style-language/schema/raw/master/csl-citation.json" }</w:instrText>
      </w:r>
      <w:r w:rsidR="00B43940" w:rsidRPr="00541955">
        <w:fldChar w:fldCharType="separate"/>
      </w:r>
      <w:r w:rsidRPr="00541955">
        <w:rPr>
          <w:noProof/>
          <w:vertAlign w:val="superscript"/>
        </w:rPr>
        <w:t>47</w:t>
      </w:r>
      <w:r w:rsidR="00B43940" w:rsidRPr="00541955">
        <w:fldChar w:fldCharType="end"/>
      </w:r>
      <w:r w:rsidRPr="00227A92">
        <w:t xml:space="preserve"> Neutron reflectometry, light interferometry and ellipsometry show that Abs on PG-functionalized ideal surfaces form smooth monolayers.</w:t>
      </w:r>
      <w:r w:rsidR="00B43940" w:rsidRPr="00541955">
        <w:fldChar w:fldCharType="begin" w:fldLock="1"/>
      </w:r>
      <w:r w:rsidRPr="00541955">
        <w:instrText>ADDIN CSL_CITATION { "citationItems" : [ { "id" : "ITEM-1", "itemData" : { "DOI" : "10.1039/c2an36787d", "ISSN" : "1364-5528", "PMID" : "23337971", "abstract" : "Detection elements play a key role in analyte recognition in biosensors. Therefore, detection elements with high analyte specificity and binding strength are required. While antibodies (Abs) have been increasingly used as detection elements in biosensors, a key challenge remains - the immobilization on the biosensor surface. This minireview highlights recent approaches to immobilize and study Abs on surfaces. We first introduce Ab species used as detection elements, and discuss techniques recently used to elucidate Ab orientation by determination of layer thickness or surface topology. Then, several immobilization methods will be presented: non-covalent and covalent surface attachment, yielding oriented or random coupled Abs. Finally, protein modification methods applicable for oriented Ab immobilization are reviewed with an eye to future application.", "author" : [ { "dropping-particle" : "", "family" : "Trilling", "given" : "Anke K", "non-dropping-particle" : "", "parse-names" : false, "suffix" : "" }, { "dropping-particle" : "", "family" : "Beekwilder", "given" : "Jules", "non-dropping-particle" : "", "parse-names" : false, "suffix" : "" }, { "dropping-particle" : "", "family" : "Zuilhof", "given" : "Han", "non-dropping-particle" : "", "parse-names" : false, "suffix" : "" } ], "container-title" : "The Analyst", "id" : "ITEM-1", "issue" : "6", "issued" : { "date-parts" : [ [ "2013", "3", "21" ] ] }, "page" : "1619-1627", "title" : "Antibody orientation on biosensor surfaces: a minireview.", "type" : "article-journal", "volume" : "138" }, "uris" : [ "http://www.mendeley.com/documents/?uuid=796d7caf-985f-4619-8140-a355906617e5" ] } ], "mendeley" : { "formattedCitation" : "&lt;sup&gt;48&lt;/sup&gt;", "plainTextFormattedCitation" : "48", "previouslyFormattedCitation" : "&lt;sup&gt;48&lt;/sup&gt;" }, "properties" : { "noteIndex" : 0 }, "schema" : "https://github.com/citation-style-language/schema/raw/master/csl-citation.json" }</w:instrText>
      </w:r>
      <w:r w:rsidR="00B43940" w:rsidRPr="00541955">
        <w:fldChar w:fldCharType="separate"/>
      </w:r>
      <w:r w:rsidRPr="00541955">
        <w:rPr>
          <w:noProof/>
          <w:vertAlign w:val="superscript"/>
        </w:rPr>
        <w:t>48</w:t>
      </w:r>
      <w:r w:rsidR="00B43940" w:rsidRPr="00541955">
        <w:fldChar w:fldCharType="end"/>
      </w:r>
      <w:r w:rsidRPr="00227A92">
        <w:t xml:space="preserve"> Antibodies are oriented by the specific interaction of PG with the fragment crystallizable region (Fc) that forces Ab to expose its binding sites to the environment.</w:t>
      </w:r>
      <w:r w:rsidR="00B43940" w:rsidRPr="00541955">
        <w:fldChar w:fldCharType="begin" w:fldLock="1"/>
      </w:r>
      <w:r w:rsidRPr="00541955">
        <w:instrText>ADDIN CSL_CITATION { "citationItems" : [ { "id" : "ITEM-1", "itemData" : { "DOI" : "10.1016/j.bios.2004.09.003", "ISSN" : "0956-5663", "PMID" : "15967357", "abstract" : "A comparative study of immunoglobulin G (IgG) immobilization was performed, both on a thiolated protein G layer, where this immobilization was due to affinity binding with an Fc fragment of IgG, and on 11-mercaptoundecanoic acid (11-MUA), where the immobilization was due to chemical bonding. The change of IgG layer formation on the two base layers as a function of the IgG concentration was investigated by surface plasmon resonance (SPR), atomic force microscopy (AFM) in a non-contact mode, and spectroscopic ellipsometry (SE). It was observed that the IgG layer was immobilized more evenly on the thiolated protein G layer than on the 11-MUA layer, based on the SPR measurements. The surface topology analysis by AFM indicated that the IgG layer was immobilized on the protein G layer according to the envelope profile of the base layer. Based on the SE analysis, it was determined that the IgG layer thickness on the thiolated protein G layer increased with increasing IgG concentration. Based on the above analyses, the scheme for orientation of IgG immobilized on the thiolated protein G layer was proposed.", "author" : [ { "dropping-particle" : "", "family" : "Bae", "given" : "Young Min", "non-dropping-particle" : "", "parse-names" : false, "suffix" : "" }, { "dropping-particle" : "", "family" : "Oh", "given" : "Byung-Keun", "non-dropping-particle" : "", "parse-names" : false, "suffix" : "" }, { "dropping-particle" : "", "family" : "Lee", "given" : "Woochang", "non-dropping-particle" : "", "parse-names" : false, "suffix" : "" }, { "dropping-particle" : "", "family" : "Lee", "given" : "Won Hong", "non-dropping-particle" : "", "parse-names" : false, "suffix" : "" }, { "dropping-particle" : "", "family" : "Choi", "given" : "Jeong-Woo", "non-dropping-particle" : "", "parse-names" : false, "suffix" : "" } ], "container-title" : "Biosensors &amp; bioelectronics", "id" : "ITEM-1", "issue" : "1", "issued" : { "date-parts" : [ [ "2005", "7", "15" ] ] }, "page" : "103-10", "title" : "Study on orientation of immunoglobulin G on protein G layer.", "type" : "article-journal", "volume" : "21" }, "uris" : [ "http://www.mendeley.com/documents/?uuid=e59fefb0-99c5-4d86-8fb6-6af8ba3abbe4" ] }, { "id" : "ITEM-2", "itemData" : { "DOI" : "10.1021/la202734f", "ISSN" : "1520-5827", "PMID" : "22126088", "abstract" : "Dual polarization interferometry (DPI) is used for a detailed study of antibody immobilization with and without orientation control, using prostate specific antigen (PSA) and its antibody as model. Thiol modified DPI chips were activated by a heterobifunctional cross-linker (sulfo-GMBS). PSA antibody was either directly immobilized via covalent binding or coupled via the Fc-fragment to protein G covalently attached to the activated chip. The direct covalent binding leads to a random antibody orientation and the coupling through protein G leads to an end-on orientation. Ethanolamine (ETH) was used to block remaining active sites following the direct antibody immobilization and protein G immobilization. A homobifunctional cross-linker (BS3) was used to stabilize the antibody layer coupled on protein G. DPI provides a real-time measurement of the stepwise molecular binding processes and gives detailed geometrical and structural values of each layer, i.e., thickness, mass, and density. These values evidence the end-on orientation of closely packed antibody on protein G layer and reveal structural effects of ETH blocking/deactivation and BS3 stabilization. With the end-on immobilized antibody, PSA at 10 pg/mL can be detected by DPI through a sandwich complex that satisfies the clinical requirement (assuming &lt;30 pg/mL as clinically safe). However, the randomly immobilized antibody failed to detect PSA at 1 ng/mL. In a parallel study using surface plasmon resonance (SPR) spectroscopy, random and end-on antibody immobilization on streptavidin-modified gold surface was evaluated to further validate the importance of antibody orientation control. With the closely packed antibody layer on protein G surface, SPR can also detect PSA at 10 pg/mL.", "author" : [ { "dropping-particle" : "", "family" : "Song", "given" : "Hong Yan", "non-dropping-particle" : "", "parse-names" : false, "suffix" : "" }, { "dropping-particle" : "", "family" : "Zhou", "given" : "Xiaodong", "non-dropping-particle" : "", "parse-names" : false, "suffix" : "" }, { "dropping-particle" : "", "family" : "Hobley", "given" : "Jonathan", "non-dropping-particle" : "", "parse-names" : false, "suffix" : "" }, { "dropping-particle" : "", "family" : "Su", "given" : "Xiaodi", "non-dropping-particle" : "", "parse-names" : false, "suffix" : "" } ], "container-title" : "Langmuir : the ACS journal of surfaces and colloids", "id" : "ITEM-2", "issue" : "1", "issued" : { "date-parts" : [ [ "2012", "1", "10" ] ] }, "page" : "997-1004", "title" : "Comparative study of random and oriented antibody immobilization as measured by dual polarization interferometry and surface plasmon resonance spectroscopy.", "type" : "article-journal", "volume" : "28" }, "uris" : [ "http://www.mendeley.com/documents/?uuid=9bb16228-d42b-4f28-b0f3-913c599bc9c8" ] } ], "mendeley" : { "formattedCitation" : "&lt;sup&gt;49,50&lt;/sup&gt;", "plainTextFormattedCitation" : "49,50", "previouslyFormattedCitation" : "&lt;sup&gt;49,50&lt;/sup&gt;" }, "properties" : { "noteIndex" : 0 }, "schema" : "https://github.com/citation-style-language/schema/raw/master/csl-citation.json" }</w:instrText>
      </w:r>
      <w:r w:rsidR="00B43940" w:rsidRPr="00541955">
        <w:fldChar w:fldCharType="separate"/>
      </w:r>
      <w:r w:rsidRPr="00541955">
        <w:rPr>
          <w:noProof/>
          <w:vertAlign w:val="superscript"/>
        </w:rPr>
        <w:t>49,50</w:t>
      </w:r>
      <w:r w:rsidR="00B43940" w:rsidRPr="00541955">
        <w:fldChar w:fldCharType="end"/>
      </w:r>
    </w:p>
    <w:p w:rsidR="0043358E" w:rsidRPr="00227A92" w:rsidRDefault="0043358E" w:rsidP="0043358E">
      <w:pPr>
        <w:pStyle w:val="TAMainText"/>
        <w:ind w:left="202" w:firstLine="518"/>
      </w:pPr>
      <w:r w:rsidRPr="00541955">
        <w:t>Both SFS and EGOFET show substantial difference</w:t>
      </w:r>
      <w:r w:rsidR="004E745F" w:rsidRPr="00541955">
        <w:t>s</w:t>
      </w:r>
      <w:r w:rsidRPr="00541955">
        <w:t xml:space="preserve"> of sensitivity between the two immobilization strategies</w:t>
      </w:r>
      <w:r w:rsidRPr="00227A92">
        <w:t xml:space="preserve">. </w:t>
      </w:r>
      <w:r w:rsidRPr="00227A92">
        <w:rPr>
          <w:color w:val="auto"/>
        </w:rPr>
        <w:t xml:space="preserve">SFS experiments </w:t>
      </w:r>
      <w:r>
        <w:rPr>
          <w:color w:val="auto"/>
        </w:rPr>
        <w:t>yield</w:t>
      </w:r>
      <w:r w:rsidRPr="00227A92">
        <w:rPr>
          <w:color w:val="auto"/>
        </w:rPr>
        <w:t xml:space="preserve"> a larger probability </w:t>
      </w:r>
      <w:r w:rsidRPr="00227A92">
        <w:rPr>
          <w:rFonts w:cs="Arial"/>
          <w:shd w:val="clear" w:color="auto" w:fill="FFFFFF"/>
        </w:rPr>
        <w:t>of specific recognition events (P</w:t>
      </w:r>
      <w:r w:rsidRPr="00227A92">
        <w:rPr>
          <w:rFonts w:cs="Arial"/>
          <w:shd w:val="clear" w:color="auto" w:fill="FFFFFF"/>
          <w:vertAlign w:val="subscript"/>
        </w:rPr>
        <w:t>sb</w:t>
      </w:r>
      <w:r w:rsidRPr="00227A92">
        <w:rPr>
          <w:rFonts w:cs="Arial"/>
          <w:shd w:val="clear" w:color="auto" w:fill="FFFFFF"/>
        </w:rPr>
        <w:t>≈30%)</w:t>
      </w:r>
      <w:r w:rsidRPr="00227A92">
        <w:rPr>
          <w:color w:val="auto"/>
        </w:rPr>
        <w:t xml:space="preserve"> occurring on PG-functionalized electrodes </w:t>
      </w:r>
      <w:r w:rsidRPr="00227A92">
        <w:rPr>
          <w:rFonts w:cs="Arial"/>
          <w:shd w:val="clear" w:color="auto" w:fill="FFFFFF"/>
        </w:rPr>
        <w:t>with respect to the control samples (P</w:t>
      </w:r>
      <w:r w:rsidRPr="00227A92">
        <w:rPr>
          <w:rFonts w:cs="Arial"/>
          <w:shd w:val="clear" w:color="auto" w:fill="FFFFFF"/>
          <w:vertAlign w:val="subscript"/>
        </w:rPr>
        <w:t>sb</w:t>
      </w:r>
      <w:r w:rsidRPr="00227A92">
        <w:rPr>
          <w:rFonts w:cs="Arial"/>
          <w:shd w:val="clear" w:color="auto" w:fill="FFFFFF"/>
        </w:rPr>
        <w:t xml:space="preserve">&lt;10%). </w:t>
      </w:r>
      <w:r>
        <w:rPr>
          <w:rFonts w:cs="Arial"/>
          <w:shd w:val="clear" w:color="auto" w:fill="FFFFFF"/>
        </w:rPr>
        <w:t xml:space="preserve">The PG-functionalized </w:t>
      </w:r>
      <w:r w:rsidRPr="00541955">
        <w:rPr>
          <w:rFonts w:cs="Arial"/>
          <w:shd w:val="clear" w:color="auto" w:fill="FFFFFF"/>
        </w:rPr>
        <w:t>EGOFET detects changes of charge mobility</w:t>
      </w:r>
      <w:r w:rsidRPr="00541955">
        <w:rPr>
          <w:color w:val="auto"/>
        </w:rPr>
        <w:t xml:space="preserve"> and threshold voltage for </w:t>
      </w:r>
      <w:r w:rsidR="00B50C58" w:rsidRPr="00541955">
        <w:rPr>
          <w:color w:val="auto"/>
        </w:rPr>
        <w:t>IL-4 concentrations as low as 5</w:t>
      </w:r>
      <w:r w:rsidRPr="00541955">
        <w:rPr>
          <w:color w:val="auto"/>
        </w:rPr>
        <w:t>nM. No change is detected for HSC6NH2-functionalized EGOFET.</w:t>
      </w:r>
    </w:p>
    <w:p w:rsidR="00110FB2" w:rsidRPr="00227A92" w:rsidRDefault="0043358E" w:rsidP="0043358E">
      <w:pPr>
        <w:pStyle w:val="TAMainText"/>
        <w:ind w:left="202" w:firstLine="518"/>
        <w:rPr>
          <w:color w:val="auto"/>
        </w:rPr>
      </w:pPr>
      <w:r w:rsidRPr="00227A92">
        <w:rPr>
          <w:color w:val="auto"/>
        </w:rPr>
        <w:t>These results show the direct correlation between SFS measurements at the single molecule level and the electronic response of the EGOFET that is caused by a change of electrostatic potential on mm</w:t>
      </w:r>
      <w:r w:rsidRPr="00227A92">
        <w:rPr>
          <w:color w:val="auto"/>
          <w:vertAlign w:val="superscript"/>
        </w:rPr>
        <w:t>2</w:t>
      </w:r>
      <w:r w:rsidRPr="00227A92">
        <w:rPr>
          <w:color w:val="auto"/>
        </w:rPr>
        <w:t xml:space="preserve"> channel. </w:t>
      </w:r>
      <w:r w:rsidRPr="00541955">
        <w:rPr>
          <w:color w:val="auto"/>
        </w:rPr>
        <w:t>This approach can lead to a methodology for designing, developing and optimizing label-free biosensors.</w:t>
      </w:r>
    </w:p>
    <w:p w:rsidR="00110FB2" w:rsidRPr="00227A92" w:rsidRDefault="00110FB2">
      <w:pPr>
        <w:suppressAutoHyphens w:val="0"/>
        <w:spacing w:after="0"/>
        <w:jc w:val="left"/>
        <w:rPr>
          <w:b/>
        </w:rPr>
      </w:pPr>
      <w:r w:rsidRPr="00227A92">
        <w:rPr>
          <w:b/>
        </w:rPr>
        <w:br w:type="page"/>
      </w:r>
    </w:p>
    <w:p w:rsidR="005F22C5" w:rsidRPr="00B40EB2" w:rsidRDefault="005F22C5" w:rsidP="008F5D4F">
      <w:pPr>
        <w:pStyle w:val="TAMainText"/>
        <w:spacing w:after="240"/>
        <w:ind w:firstLine="0"/>
        <w:jc w:val="left"/>
        <w:outlineLvl w:val="0"/>
        <w:rPr>
          <w:b/>
        </w:rPr>
      </w:pPr>
      <w:r w:rsidRPr="00B40EB2">
        <w:rPr>
          <w:b/>
        </w:rPr>
        <w:lastRenderedPageBreak/>
        <w:t>RESULTS AND DISCUSSION</w:t>
      </w:r>
    </w:p>
    <w:p w:rsidR="005F22C5" w:rsidRPr="00B40EB2" w:rsidRDefault="005F22C5" w:rsidP="008F5D4F">
      <w:pPr>
        <w:pStyle w:val="TAMainText"/>
        <w:spacing w:after="240"/>
        <w:ind w:firstLine="0"/>
        <w:jc w:val="left"/>
        <w:outlineLvl w:val="0"/>
      </w:pPr>
      <w:r w:rsidRPr="00B40EB2">
        <w:rPr>
          <w:b/>
        </w:rPr>
        <w:t>Electrochemical measurements</w:t>
      </w:r>
    </w:p>
    <w:p w:rsidR="00C210DF" w:rsidRPr="00B40EB2" w:rsidRDefault="005F22C5" w:rsidP="005F22C5">
      <w:pPr>
        <w:spacing w:line="480" w:lineRule="auto"/>
      </w:pPr>
      <w:r w:rsidRPr="00B40EB2">
        <w:t xml:space="preserve">The </w:t>
      </w:r>
      <w:r w:rsidR="0015744B" w:rsidRPr="00B40EB2">
        <w:t xml:space="preserve">result of </w:t>
      </w:r>
      <w:r w:rsidR="00132587">
        <w:t>Au</w:t>
      </w:r>
      <w:r w:rsidR="0015744B" w:rsidRPr="00B40EB2">
        <w:t xml:space="preserve"> functionalization </w:t>
      </w:r>
      <w:r w:rsidRPr="00B40EB2">
        <w:t xml:space="preserve">was first </w:t>
      </w:r>
      <w:r w:rsidR="0015744B" w:rsidRPr="00B40EB2">
        <w:t>assessed</w:t>
      </w:r>
      <w:r w:rsidRPr="00B40EB2">
        <w:t xml:space="preserve"> by </w:t>
      </w:r>
      <w:r w:rsidR="0015744B" w:rsidRPr="00B40EB2">
        <w:rPr>
          <w:color w:val="auto"/>
        </w:rPr>
        <w:t>cyclic voltammetry and impedance spectroscopy</w:t>
      </w:r>
      <w:r w:rsidR="0015744B" w:rsidRPr="00B40EB2">
        <w:t xml:space="preserve"> </w:t>
      </w:r>
      <w:r w:rsidR="00DC0166" w:rsidRPr="00B40EB2">
        <w:t>(see Fig.</w:t>
      </w:r>
      <w:r w:rsidR="000F453F" w:rsidRPr="00B40EB2">
        <w:t xml:space="preserve"> </w:t>
      </w:r>
      <w:r w:rsidR="00DC0166" w:rsidRPr="00B40EB2">
        <w:t>3)</w:t>
      </w:r>
      <w:r w:rsidR="0015744B" w:rsidRPr="00B40EB2">
        <w:t xml:space="preserve"> by monitoring the</w:t>
      </w:r>
      <w:r w:rsidRPr="00B40EB2">
        <w:t xml:space="preserve"> </w:t>
      </w:r>
      <w:r w:rsidR="0015744B" w:rsidRPr="00B40EB2">
        <w:rPr>
          <w:color w:val="auto"/>
        </w:rPr>
        <w:t>c</w:t>
      </w:r>
      <w:r w:rsidRPr="00B40EB2">
        <w:rPr>
          <w:color w:val="auto"/>
        </w:rPr>
        <w:t>hanges in the faradaic response of the ferricyanide redox probe, [Fe(CN)</w:t>
      </w:r>
      <w:r w:rsidRPr="00B40EB2">
        <w:rPr>
          <w:color w:val="auto"/>
          <w:vertAlign w:val="subscript"/>
        </w:rPr>
        <w:t>6</w:t>
      </w:r>
      <w:r w:rsidRPr="00B40EB2">
        <w:rPr>
          <w:color w:val="auto"/>
        </w:rPr>
        <w:t>]</w:t>
      </w:r>
      <w:r w:rsidR="0022079B" w:rsidRPr="00B40EB2">
        <w:rPr>
          <w:color w:val="auto"/>
          <w:vertAlign w:val="superscript"/>
        </w:rPr>
        <w:t>3</w:t>
      </w:r>
      <w:r w:rsidRPr="00B40EB2">
        <w:rPr>
          <w:color w:val="auto"/>
          <w:vertAlign w:val="superscript"/>
        </w:rPr>
        <w:t>-/</w:t>
      </w:r>
      <w:r w:rsidR="0022079B" w:rsidRPr="00B40EB2">
        <w:rPr>
          <w:color w:val="auto"/>
          <w:vertAlign w:val="superscript"/>
        </w:rPr>
        <w:t>4-</w:t>
      </w:r>
      <w:r w:rsidRPr="00B40EB2">
        <w:rPr>
          <w:color w:val="auto"/>
        </w:rPr>
        <w:t>.</w:t>
      </w:r>
      <w:r w:rsidRPr="00B40EB2">
        <w:t xml:space="preserve"> In the case of HSC6NH2-</w:t>
      </w:r>
      <w:r w:rsidR="00DC1C26" w:rsidRPr="00B40EB2">
        <w:t>functionalized</w:t>
      </w:r>
      <w:r w:rsidRPr="00B40EB2">
        <w:t xml:space="preserve"> Au</w:t>
      </w:r>
      <w:r w:rsidR="00DC1C26" w:rsidRPr="00B40EB2">
        <w:t xml:space="preserve"> electrodes</w:t>
      </w:r>
      <w:r w:rsidRPr="00B40EB2">
        <w:t xml:space="preserve">, </w:t>
      </w:r>
      <w:r w:rsidR="002E07CB" w:rsidRPr="00B40EB2">
        <w:t>cyclic voltammetry</w:t>
      </w:r>
      <w:r w:rsidRPr="00B40EB2">
        <w:rPr>
          <w:color w:val="auto"/>
          <w:vertAlign w:val="superscript"/>
        </w:rPr>
        <w:t xml:space="preserve"> </w:t>
      </w:r>
      <w:r w:rsidRPr="00B40EB2">
        <w:rPr>
          <w:color w:val="auto"/>
        </w:rPr>
        <w:t xml:space="preserve">displays an increase of the peak-to-peak distance </w:t>
      </w:r>
      <w:r w:rsidR="000F453F" w:rsidRPr="00B40EB2">
        <w:rPr>
          <w:color w:val="auto"/>
        </w:rPr>
        <w:t>from 60 mV to</w:t>
      </w:r>
      <w:r w:rsidR="000F453F" w:rsidRPr="006257C8">
        <w:rPr>
          <w:color w:val="auto"/>
        </w:rPr>
        <w:t xml:space="preserve"> </w:t>
      </w:r>
      <w:r w:rsidR="000F453F" w:rsidRPr="00B40EB2">
        <w:t>&gt;</w:t>
      </w:r>
      <w:r w:rsidRPr="00B40EB2">
        <w:t>250</w:t>
      </w:r>
      <w:r w:rsidR="0013070B" w:rsidRPr="00B40EB2">
        <w:t xml:space="preserve"> </w:t>
      </w:r>
      <w:r w:rsidR="00352BC4" w:rsidRPr="00B40EB2">
        <w:t>mV</w:t>
      </w:r>
      <w:r w:rsidRPr="00B40EB2">
        <w:t xml:space="preserve"> upon changing the pH of the solution from neutral to basic values</w:t>
      </w:r>
      <w:r w:rsidR="008F55E8" w:rsidRPr="00B40EB2">
        <w:t xml:space="preserve"> (Fig.</w:t>
      </w:r>
      <w:r w:rsidR="00C210DF" w:rsidRPr="00B40EB2">
        <w:t xml:space="preserve"> 3</w:t>
      </w:r>
      <w:r w:rsidR="008F55E8" w:rsidRPr="00B40EB2">
        <w:t>a)</w:t>
      </w:r>
      <w:r w:rsidRPr="00B40EB2">
        <w:t xml:space="preserve">. This </w:t>
      </w:r>
      <w:r w:rsidR="000F453F" w:rsidRPr="00B40EB2">
        <w:t xml:space="preserve">indicates a </w:t>
      </w:r>
      <w:r w:rsidRPr="00B40EB2">
        <w:t xml:space="preserve">dramatic slowing down of the electron transfer, not observed </w:t>
      </w:r>
      <w:r w:rsidR="002E07CB" w:rsidRPr="00B40EB2">
        <w:t>on</w:t>
      </w:r>
      <w:r w:rsidRPr="00B40EB2">
        <w:t xml:space="preserve"> bare Au</w:t>
      </w:r>
      <w:r w:rsidR="002E07CB" w:rsidRPr="00B40EB2">
        <w:t>,</w:t>
      </w:r>
      <w:r w:rsidRPr="00B40EB2">
        <w:t xml:space="preserve"> </w:t>
      </w:r>
      <w:r w:rsidR="005345D6">
        <w:t>that</w:t>
      </w:r>
      <w:r w:rsidR="000F453F" w:rsidRPr="00B40EB2">
        <w:t xml:space="preserve"> </w:t>
      </w:r>
      <w:r w:rsidRPr="00B40EB2">
        <w:t xml:space="preserve">is </w:t>
      </w:r>
      <w:r w:rsidR="002E07CB" w:rsidRPr="00B40EB2">
        <w:t>consistent with</w:t>
      </w:r>
      <w:r w:rsidRPr="00B40EB2">
        <w:t xml:space="preserve"> the </w:t>
      </w:r>
      <w:r w:rsidR="002E07CB" w:rsidRPr="00B40EB2">
        <w:t xml:space="preserve">presence of the </w:t>
      </w:r>
      <w:r w:rsidRPr="00B40EB2">
        <w:t xml:space="preserve">amino-terminated SAM on the </w:t>
      </w:r>
      <w:r w:rsidR="002E07CB" w:rsidRPr="00B40EB2">
        <w:t xml:space="preserve">electrode </w:t>
      </w:r>
      <w:r w:rsidR="00474E2A" w:rsidRPr="00B40EB2">
        <w:t>surface.</w:t>
      </w:r>
      <w:r w:rsidR="00B43940" w:rsidRPr="00541955">
        <w:fldChar w:fldCharType="begin" w:fldLock="1"/>
      </w:r>
      <w:r w:rsidR="00562FAC" w:rsidRPr="00541955">
        <w:instrText>ADDIN CSL_CITATION { "citationItems" : [ { "id" : "ITEM-1", "itemData" : { "author" : [ { "dropping-particle" : "", "family" : "Mark", "given" : "L W", "non-dropping-particle" : "", "parse-names" : false, "suffix" : "" }, { "dropping-particle" : "", "family" : "Smith", "given" : "D A", "non-dropping-particle" : "", "parse-names" : false, "suffix" : "" } ], "container-title" : "Langmuir", "id" : "ITEM-1", "issued" : { "date-parts" : [ [ "2001" ] ] }, "page" : "1126-1131", "title" : "Complex Chemical Force Titration Behavior of Amine-Terminated Self-Assembled Monolayers", "type" : "article-journal", "volume" : "17" }, "uris" : [ "http://www.mendeley.com/documents/?uuid=2ad60ddf-2a10-4d2b-8014-132c0998bf6a" ] } ], "mendeley" : { "formattedCitation" : "&lt;sup&gt;51&lt;/sup&gt;", "plainTextFormattedCitation" : "51", "previouslyFormattedCitation" : "&lt;sup&gt;51&lt;/sup&gt;" }, "properties" : { "noteIndex" : 0 }, "schema" : "https://github.com/citation-style-language/schema/raw/master/csl-citation.json" }</w:instrText>
      </w:r>
      <w:r w:rsidR="00B43940" w:rsidRPr="00541955">
        <w:fldChar w:fldCharType="separate"/>
      </w:r>
      <w:r w:rsidR="00562FAC" w:rsidRPr="00541955">
        <w:rPr>
          <w:noProof/>
          <w:vertAlign w:val="superscript"/>
        </w:rPr>
        <w:t>51</w:t>
      </w:r>
      <w:r w:rsidR="00B43940" w:rsidRPr="00541955">
        <w:fldChar w:fldCharType="end"/>
      </w:r>
    </w:p>
    <w:p w:rsidR="00CB4441" w:rsidRPr="00B40EB2" w:rsidRDefault="003128C1" w:rsidP="005F22C5">
      <w:pPr>
        <w:spacing w:line="480" w:lineRule="auto"/>
      </w:pPr>
      <w:r w:rsidRPr="004F5851">
        <w:t xml:space="preserve">We monitored </w:t>
      </w:r>
      <w:r w:rsidR="005F22C5" w:rsidRPr="004F5851">
        <w:t>PG adsorption onto polycrystalline Au</w:t>
      </w:r>
      <w:r w:rsidR="005345D6" w:rsidRPr="004F5851">
        <w:t xml:space="preserve"> electrodes</w:t>
      </w:r>
      <w:r w:rsidRPr="004F5851">
        <w:t xml:space="preserve"> by means of</w:t>
      </w:r>
      <w:r w:rsidR="00C210DF" w:rsidRPr="004F5851">
        <w:t xml:space="preserve"> </w:t>
      </w:r>
      <w:r w:rsidR="005F22C5" w:rsidRPr="004F5851">
        <w:t>impedance spectroscopy</w:t>
      </w:r>
      <w:r w:rsidR="008F55E8" w:rsidRPr="004F5851">
        <w:t xml:space="preserve"> </w:t>
      </w:r>
      <w:r w:rsidR="00C210DF" w:rsidRPr="004F5851">
        <w:t>(</w:t>
      </w:r>
      <w:r w:rsidR="008F55E8" w:rsidRPr="004F5851">
        <w:t>Fig.</w:t>
      </w:r>
      <w:r w:rsidR="00C210DF" w:rsidRPr="004F5851">
        <w:t xml:space="preserve"> 3</w:t>
      </w:r>
      <w:r w:rsidR="008F55E8" w:rsidRPr="004F5851">
        <w:t>b)</w:t>
      </w:r>
      <w:r w:rsidR="005F22C5" w:rsidRPr="004F5851">
        <w:t>.</w:t>
      </w:r>
      <w:r w:rsidR="002D5849" w:rsidRPr="00B40EB2">
        <w:t xml:space="preserve"> The data fitted with Randles ci</w:t>
      </w:r>
      <w:r w:rsidR="00807094">
        <w:t>rcuit (see Experimental Section</w:t>
      </w:r>
      <w:r w:rsidR="002D5849" w:rsidRPr="00B40EB2">
        <w:t>) s</w:t>
      </w:r>
      <w:r w:rsidR="00F70516">
        <w:t>how that the capacitance (</w:t>
      </w:r>
      <w:r w:rsidR="00F70516" w:rsidRPr="00B40EB2">
        <w:rPr>
          <w:i/>
        </w:rPr>
        <w:t>C</w:t>
      </w:r>
      <w:r w:rsidR="00F70516" w:rsidRPr="00B40EB2">
        <w:rPr>
          <w:i/>
          <w:vertAlign w:val="subscript"/>
        </w:rPr>
        <w:t>DL</w:t>
      </w:r>
      <w:r w:rsidR="00F70516">
        <w:t>)</w:t>
      </w:r>
      <w:r w:rsidR="005F22C5" w:rsidRPr="00B40EB2">
        <w:t xml:space="preserve"> </w:t>
      </w:r>
      <w:r w:rsidR="002D5849" w:rsidRPr="00B40EB2">
        <w:t xml:space="preserve">decreases from 11.3(±0.2) µF to 2.1(±0.1) µF and </w:t>
      </w:r>
      <w:r w:rsidR="004E745F">
        <w:t>the charge-transfer resistance (</w:t>
      </w:r>
      <w:r w:rsidR="002D5849" w:rsidRPr="00B40EB2">
        <w:rPr>
          <w:i/>
        </w:rPr>
        <w:t>R</w:t>
      </w:r>
      <w:r w:rsidR="002D5849" w:rsidRPr="00B40EB2">
        <w:rPr>
          <w:i/>
          <w:vertAlign w:val="subscript"/>
        </w:rPr>
        <w:t>CT</w:t>
      </w:r>
      <w:r w:rsidR="004E745F">
        <w:t>)</w:t>
      </w:r>
      <w:r w:rsidR="002D5849" w:rsidRPr="00B40EB2">
        <w:rPr>
          <w:i/>
        </w:rPr>
        <w:t xml:space="preserve"> </w:t>
      </w:r>
      <w:r w:rsidR="002D5849" w:rsidRPr="00B40EB2">
        <w:t>increases from 12.8(±0.2)</w:t>
      </w:r>
      <w:r w:rsidR="008D6D27" w:rsidRPr="00B40EB2">
        <w:t xml:space="preserve"> Ω </w:t>
      </w:r>
      <w:r w:rsidR="002D5849" w:rsidRPr="00B40EB2">
        <w:t>to 270(±3)</w:t>
      </w:r>
      <w:r w:rsidR="008D6D27" w:rsidRPr="00B40EB2">
        <w:t xml:space="preserve"> </w:t>
      </w:r>
      <w:r w:rsidR="002D5849" w:rsidRPr="00B40EB2">
        <w:t xml:space="preserve">Ω. This indicates that </w:t>
      </w:r>
      <w:r w:rsidR="006257C8">
        <w:t>P</w:t>
      </w:r>
      <w:r w:rsidR="002D5849" w:rsidRPr="00B40EB2">
        <w:t xml:space="preserve">G is adsorbed onto Au electrode. The orientation of the adsorbed PG is assessed by </w:t>
      </w:r>
      <w:r w:rsidR="002D5849" w:rsidRPr="00B40EB2">
        <w:rPr>
          <w:color w:val="auto"/>
        </w:rPr>
        <w:t>measuring the impedance changes upon incubation of the PG-functionalized electrode in a 400</w:t>
      </w:r>
      <w:r w:rsidR="008D6D27" w:rsidRPr="00B40EB2">
        <w:rPr>
          <w:color w:val="auto"/>
        </w:rPr>
        <w:t xml:space="preserve"> </w:t>
      </w:r>
      <w:r w:rsidR="002D5849" w:rsidRPr="00B40EB2">
        <w:rPr>
          <w:color w:val="auto"/>
        </w:rPr>
        <w:t xml:space="preserve">mM imidazole solution for 30 min. We observe </w:t>
      </w:r>
      <w:r w:rsidR="00A86A60">
        <w:rPr>
          <w:color w:val="auto"/>
        </w:rPr>
        <w:t xml:space="preserve">a </w:t>
      </w:r>
      <w:r w:rsidR="002D5849" w:rsidRPr="00B40EB2">
        <w:rPr>
          <w:color w:val="auto"/>
        </w:rPr>
        <w:t>capacitance</w:t>
      </w:r>
      <w:r w:rsidR="00CB4441" w:rsidRPr="00B40EB2">
        <w:rPr>
          <w:color w:val="auto"/>
        </w:rPr>
        <w:t xml:space="preserve"> </w:t>
      </w:r>
      <w:r w:rsidR="00A86A60">
        <w:rPr>
          <w:color w:val="auto"/>
        </w:rPr>
        <w:t xml:space="preserve">increase </w:t>
      </w:r>
      <w:r w:rsidR="00CB4441" w:rsidRPr="00B40EB2">
        <w:rPr>
          <w:color w:val="auto"/>
        </w:rPr>
        <w:t>to</w:t>
      </w:r>
      <w:r w:rsidR="002D5849" w:rsidRPr="00B40EB2">
        <w:rPr>
          <w:color w:val="auto"/>
        </w:rPr>
        <w:t xml:space="preserve"> 2.7(±0.1)</w:t>
      </w:r>
      <w:r w:rsidR="008D6D27" w:rsidRPr="00B40EB2">
        <w:rPr>
          <w:color w:val="auto"/>
        </w:rPr>
        <w:t xml:space="preserve"> </w:t>
      </w:r>
      <w:r w:rsidR="002D5849" w:rsidRPr="00B40EB2">
        <w:rPr>
          <w:color w:val="auto"/>
        </w:rPr>
        <w:t xml:space="preserve">µF, along with a dramatic decrease of </w:t>
      </w:r>
      <w:r w:rsidR="002D5849" w:rsidRPr="00B40EB2">
        <w:rPr>
          <w:i/>
          <w:color w:val="auto"/>
        </w:rPr>
        <w:t>R</w:t>
      </w:r>
      <w:r w:rsidR="002D5849" w:rsidRPr="00B40EB2">
        <w:rPr>
          <w:i/>
          <w:color w:val="auto"/>
          <w:vertAlign w:val="subscript"/>
        </w:rPr>
        <w:t>CT</w:t>
      </w:r>
      <w:r w:rsidR="00CD4001" w:rsidRPr="00B40EB2">
        <w:rPr>
          <w:color w:val="auto"/>
        </w:rPr>
        <w:t xml:space="preserve"> down to</w:t>
      </w:r>
      <w:r w:rsidR="002D5849" w:rsidRPr="00B40EB2">
        <w:rPr>
          <w:color w:val="auto"/>
        </w:rPr>
        <w:t xml:space="preserve"> 63(±0.1) Ω</w:t>
      </w:r>
      <w:r w:rsidR="00807094">
        <w:rPr>
          <w:color w:val="auto"/>
        </w:rPr>
        <w:t xml:space="preserve"> (see Fig. S1)</w:t>
      </w:r>
      <w:r w:rsidR="002D5849" w:rsidRPr="00B40EB2">
        <w:rPr>
          <w:color w:val="auto"/>
        </w:rPr>
        <w:t xml:space="preserve">. These changes </w:t>
      </w:r>
      <w:r w:rsidR="00CD4001" w:rsidRPr="00B40EB2">
        <w:rPr>
          <w:color w:val="auto"/>
        </w:rPr>
        <w:t xml:space="preserve">evidence partial </w:t>
      </w:r>
      <w:r w:rsidR="002D5849" w:rsidRPr="00B40EB2">
        <w:rPr>
          <w:color w:val="auto"/>
        </w:rPr>
        <w:t xml:space="preserve">desorption of His-Tagged PG from the gold </w:t>
      </w:r>
      <w:r w:rsidR="00CD4001" w:rsidRPr="00B40EB2">
        <w:rPr>
          <w:color w:val="auto"/>
        </w:rPr>
        <w:t>electrode</w:t>
      </w:r>
      <w:r w:rsidR="002D5849" w:rsidRPr="00B40EB2">
        <w:rPr>
          <w:color w:val="auto"/>
        </w:rPr>
        <w:t xml:space="preserve">, </w:t>
      </w:r>
      <w:r w:rsidR="008D6D27" w:rsidRPr="00B40EB2">
        <w:rPr>
          <w:color w:val="auto"/>
        </w:rPr>
        <w:t xml:space="preserve">thus </w:t>
      </w:r>
      <w:r w:rsidR="002D5849" w:rsidRPr="00B40EB2">
        <w:rPr>
          <w:color w:val="auto"/>
        </w:rPr>
        <w:t>proving that His-Tag mediates the PG assembly on Au (see Fig.</w:t>
      </w:r>
      <w:r w:rsidR="00CD4001" w:rsidRPr="00B40EB2">
        <w:rPr>
          <w:color w:val="auto"/>
        </w:rPr>
        <w:t xml:space="preserve"> 3b</w:t>
      </w:r>
      <w:r w:rsidR="002D5849" w:rsidRPr="00B40EB2">
        <w:rPr>
          <w:color w:val="auto"/>
        </w:rPr>
        <w:t>).</w:t>
      </w:r>
    </w:p>
    <w:p w:rsidR="005F22C5" w:rsidRPr="00B40EB2" w:rsidRDefault="005F22C5" w:rsidP="00A86A60">
      <w:pPr>
        <w:spacing w:line="480" w:lineRule="auto"/>
        <w:ind w:firstLine="720"/>
      </w:pPr>
      <w:r w:rsidRPr="00B40EB2">
        <w:t xml:space="preserve">Both </w:t>
      </w:r>
      <w:r w:rsidR="006F5937" w:rsidRPr="00B40EB2">
        <w:t xml:space="preserve">strategies </w:t>
      </w:r>
      <w:r w:rsidR="00A86A60">
        <w:t>are effective for</w:t>
      </w:r>
      <w:r w:rsidR="00CD4001" w:rsidRPr="00B40EB2">
        <w:t xml:space="preserve"> </w:t>
      </w:r>
      <w:r w:rsidR="00A86A60">
        <w:t>immobilizing</w:t>
      </w:r>
      <w:r w:rsidRPr="00B40EB2">
        <w:t xml:space="preserve"> anti-IL4 on the surface</w:t>
      </w:r>
      <w:r w:rsidR="00C604D0" w:rsidRPr="00B40EB2">
        <w:t xml:space="preserve"> as apparent from </w:t>
      </w:r>
      <w:r w:rsidR="00CD4001" w:rsidRPr="00B40EB2">
        <w:t>Fig. 4</w:t>
      </w:r>
      <w:r w:rsidR="00C604D0" w:rsidRPr="00B40EB2">
        <w:t xml:space="preserve"> and the data reported in Table S1</w:t>
      </w:r>
      <w:r w:rsidR="00CD4001" w:rsidRPr="00B40EB2">
        <w:t>.</w:t>
      </w:r>
      <w:r w:rsidR="00A86A60">
        <w:t xml:space="preserve"> </w:t>
      </w:r>
      <w:r w:rsidR="006F5937" w:rsidRPr="00B40EB2">
        <w:t>For both</w:t>
      </w:r>
      <w:r w:rsidRPr="00B40EB2">
        <w:t xml:space="preserve"> </w:t>
      </w:r>
      <w:r w:rsidR="00C604D0" w:rsidRPr="00B40EB2">
        <w:t>electrode</w:t>
      </w:r>
      <w:r w:rsidR="00A86A60">
        <w:t xml:space="preserve"> </w:t>
      </w:r>
      <w:r w:rsidR="00896F22" w:rsidRPr="004F5851">
        <w:t>functionalizations</w:t>
      </w:r>
      <w:r w:rsidR="00C604D0" w:rsidRPr="00B40EB2">
        <w:t>,</w:t>
      </w:r>
      <w:r w:rsidRPr="00B40EB2">
        <w:t xml:space="preserve"> </w:t>
      </w:r>
      <w:r w:rsidR="006F5937" w:rsidRPr="00B40EB2">
        <w:t>we observe</w:t>
      </w:r>
      <w:r w:rsidR="00C604D0" w:rsidRPr="00B40EB2">
        <w:t xml:space="preserve"> a significant increase of the charge transfer resistance </w:t>
      </w:r>
      <w:r w:rsidR="00C604D0" w:rsidRPr="00B40EB2">
        <w:rPr>
          <w:i/>
        </w:rPr>
        <w:t>R</w:t>
      </w:r>
      <w:r w:rsidR="00C604D0" w:rsidRPr="00B40EB2">
        <w:rPr>
          <w:i/>
          <w:vertAlign w:val="subscript"/>
        </w:rPr>
        <w:t>CT</w:t>
      </w:r>
      <w:r w:rsidR="00C604D0" w:rsidRPr="00B40EB2">
        <w:t xml:space="preserve"> </w:t>
      </w:r>
      <w:r w:rsidR="006F5937" w:rsidRPr="00B40EB2">
        <w:t>up</w:t>
      </w:r>
      <w:r w:rsidR="00446449" w:rsidRPr="00B40EB2">
        <w:t>o</w:t>
      </w:r>
      <w:r w:rsidR="006F5937" w:rsidRPr="00B40EB2">
        <w:t>n incubation in anti-IL4 solution</w:t>
      </w:r>
      <w:r w:rsidR="00C604D0" w:rsidRPr="00B40EB2">
        <w:t xml:space="preserve">. </w:t>
      </w:r>
      <w:r w:rsidR="00C604D0" w:rsidRPr="00B40EB2">
        <w:lastRenderedPageBreak/>
        <w:t xml:space="preserve">The capacitance change is consistent </w:t>
      </w:r>
      <w:r w:rsidR="006F5937" w:rsidRPr="00B40EB2">
        <w:t xml:space="preserve">with the Ab adsorption </w:t>
      </w:r>
      <w:r w:rsidR="00C604D0" w:rsidRPr="00B40EB2">
        <w:t xml:space="preserve">for </w:t>
      </w:r>
      <w:r w:rsidR="006F5937" w:rsidRPr="00B40EB2">
        <w:t xml:space="preserve">the </w:t>
      </w:r>
      <w:r w:rsidR="00C604D0" w:rsidRPr="00B40EB2">
        <w:t>H</w:t>
      </w:r>
      <w:r w:rsidR="004F3F9C" w:rsidRPr="00B40EB2">
        <w:t>SC6NH2-functionalized electrode. The</w:t>
      </w:r>
      <w:r w:rsidR="00C604D0" w:rsidRPr="00B40EB2">
        <w:t xml:space="preserve"> </w:t>
      </w:r>
      <w:r w:rsidR="006F5937" w:rsidRPr="00B40EB2">
        <w:t xml:space="preserve">capacitance </w:t>
      </w:r>
      <w:r w:rsidR="00C604D0" w:rsidRPr="00B40EB2">
        <w:t>exhibits no significant change in the case</w:t>
      </w:r>
      <w:r w:rsidR="006F5937" w:rsidRPr="00B40EB2">
        <w:t xml:space="preserve"> of PG-functionalized electrode</w:t>
      </w:r>
      <w:r w:rsidR="00684530" w:rsidRPr="00B40EB2">
        <w:t>.</w:t>
      </w:r>
    </w:p>
    <w:p w:rsidR="005F22C5" w:rsidRPr="00B40EB2" w:rsidRDefault="005F22C5" w:rsidP="008F5D4F">
      <w:pPr>
        <w:pStyle w:val="TAMainText"/>
        <w:spacing w:after="240"/>
        <w:ind w:firstLine="0"/>
        <w:jc w:val="left"/>
        <w:outlineLvl w:val="0"/>
      </w:pPr>
      <w:r w:rsidRPr="00B40EB2">
        <w:rPr>
          <w:b/>
        </w:rPr>
        <w:t>Tapping mode AFM</w:t>
      </w:r>
    </w:p>
    <w:p w:rsidR="005F22C5" w:rsidRPr="00B40EB2" w:rsidRDefault="005F22C5" w:rsidP="005F22C5">
      <w:pPr>
        <w:pStyle w:val="TAMainText"/>
        <w:ind w:firstLine="0"/>
      </w:pPr>
      <w:r w:rsidRPr="00B40EB2">
        <w:t xml:space="preserve">The ability of both functionalization protocols to lead to Ab immobilization onto the gold substrate has been evaluated by tapping mode AFM in air and PBS medium. The surface topography of a </w:t>
      </w:r>
      <w:r w:rsidRPr="00B40EB2">
        <w:rPr>
          <w:color w:val="auto"/>
        </w:rPr>
        <w:t>typical</w:t>
      </w:r>
      <w:r w:rsidRPr="00B40EB2">
        <w:t xml:space="preserve"> bare gold sample recorded in air is displayed in Fig</w:t>
      </w:r>
      <w:r w:rsidR="00A86A60">
        <w:t>.</w:t>
      </w:r>
      <w:r w:rsidRPr="00B40EB2">
        <w:t xml:space="preserve"> </w:t>
      </w:r>
      <w:r w:rsidR="001A164A" w:rsidRPr="00B40EB2">
        <w:t>5a</w:t>
      </w:r>
      <w:r w:rsidRPr="00B40EB2">
        <w:t>. The sample consist</w:t>
      </w:r>
      <w:r w:rsidR="001A164A" w:rsidRPr="00B40EB2">
        <w:t>s</w:t>
      </w:r>
      <w:r w:rsidRPr="00B40EB2">
        <w:t xml:space="preserve"> of </w:t>
      </w:r>
      <w:r w:rsidR="00A86A60">
        <w:t xml:space="preserve">few </w:t>
      </w:r>
      <w:r w:rsidR="008D6D27" w:rsidRPr="00B40EB2">
        <w:t>tens nm-diameter</w:t>
      </w:r>
      <w:r w:rsidRPr="00B40EB2">
        <w:t xml:space="preserve"> gold </w:t>
      </w:r>
      <w:r w:rsidR="001A164A" w:rsidRPr="00B40EB2">
        <w:t>grains</w:t>
      </w:r>
      <w:r w:rsidRPr="00B40EB2">
        <w:t xml:space="preserve"> formed </w:t>
      </w:r>
      <w:r w:rsidR="00A86A60">
        <w:t>by</w:t>
      </w:r>
      <w:r w:rsidRPr="00B40EB2">
        <w:t xml:space="preserve"> </w:t>
      </w:r>
      <w:r w:rsidR="009E19A3" w:rsidRPr="00B40EB2">
        <w:rPr>
          <w:color w:val="auto"/>
        </w:rPr>
        <w:t>thermal sublimation</w:t>
      </w:r>
      <w:r w:rsidRPr="00B40EB2">
        <w:t>, with a maximum</w:t>
      </w:r>
      <w:r w:rsidR="001E453D" w:rsidRPr="00B40EB2">
        <w:t xml:space="preserve"> </w:t>
      </w:r>
      <w:r w:rsidRPr="00B40EB2">
        <w:t xml:space="preserve">height of 10 nm and </w:t>
      </w:r>
      <w:r w:rsidRPr="00B40EB2">
        <w:rPr>
          <w:color w:val="auto"/>
        </w:rPr>
        <w:t>root mean square (RMS)</w:t>
      </w:r>
      <w:r w:rsidRPr="00B40EB2">
        <w:t xml:space="preserve"> roughness of 1.1 nm. </w:t>
      </w:r>
      <w:r w:rsidR="00B96C54" w:rsidRPr="00B40EB2">
        <w:t xml:space="preserve">PG </w:t>
      </w:r>
      <w:r w:rsidR="001A164A" w:rsidRPr="00B40EB2">
        <w:t xml:space="preserve">adsorption </w:t>
      </w:r>
      <w:r w:rsidRPr="00B40EB2">
        <w:t>(Fig.</w:t>
      </w:r>
      <w:r w:rsidR="001A164A" w:rsidRPr="00B40EB2">
        <w:t xml:space="preserve"> 5b</w:t>
      </w:r>
      <w:r w:rsidRPr="00B40EB2">
        <w:t xml:space="preserve">) yields a smoother surface of reduced height and roughness. Incubation of the sample with the anti-IL4 solution leads to an increase </w:t>
      </w:r>
      <w:r w:rsidR="001A164A" w:rsidRPr="00B40EB2">
        <w:t>of</w:t>
      </w:r>
      <w:r w:rsidRPr="00B40EB2">
        <w:t xml:space="preserve"> the maximum height </w:t>
      </w:r>
      <w:r w:rsidR="001A164A" w:rsidRPr="00B40EB2">
        <w:t xml:space="preserve">by </w:t>
      </w:r>
      <w:r w:rsidRPr="00B40EB2">
        <w:t xml:space="preserve">3.5 nm and roughness </w:t>
      </w:r>
      <w:r w:rsidR="001A164A" w:rsidRPr="00B40EB2">
        <w:t xml:space="preserve">by 0.39 nm </w:t>
      </w:r>
      <w:r w:rsidRPr="00B40EB2">
        <w:t>(Fig.</w:t>
      </w:r>
      <w:r w:rsidR="001A164A" w:rsidRPr="00B40EB2">
        <w:t xml:space="preserve"> 5c</w:t>
      </w:r>
      <w:r w:rsidRPr="00B40EB2">
        <w:t xml:space="preserve">). </w:t>
      </w:r>
      <w:r w:rsidRPr="00B40EB2">
        <w:rPr>
          <w:color w:val="auto"/>
        </w:rPr>
        <w:t xml:space="preserve">The height difference is in good agreement with the size of IgG antibodies adsorbed with </w:t>
      </w:r>
      <w:r w:rsidR="00A86A60">
        <w:rPr>
          <w:color w:val="auto"/>
        </w:rPr>
        <w:t>an orientation consistent with</w:t>
      </w:r>
      <w:r w:rsidRPr="00B40EB2">
        <w:rPr>
          <w:color w:val="auto"/>
        </w:rPr>
        <w:t xml:space="preserve"> the so-called Y configuration previously </w:t>
      </w:r>
      <w:r w:rsidR="00A86A60">
        <w:rPr>
          <w:color w:val="auto"/>
        </w:rPr>
        <w:t>reported</w:t>
      </w:r>
      <w:r w:rsidRPr="00B40EB2">
        <w:rPr>
          <w:color w:val="auto"/>
        </w:rPr>
        <w:t xml:space="preserve"> in air</w:t>
      </w:r>
      <w:r w:rsidRPr="00B40EB2">
        <w:t>.</w:t>
      </w:r>
      <w:r w:rsidR="00B43940" w:rsidRPr="00541955">
        <w:rPr>
          <w:color w:val="auto"/>
        </w:rPr>
        <w:fldChar w:fldCharType="begin" w:fldLock="1"/>
      </w:r>
      <w:r w:rsidR="0044428A" w:rsidRPr="00541955">
        <w:rPr>
          <w:color w:val="auto"/>
        </w:rPr>
        <w:instrText>ADDIN CSL_CITATION { "citationItems" : [ { "id" : "ITEM-1", "itemData" : { "author" : [ { "dropping-particle" : "", "family" : "San Paulo", "given" : "Alvaro", "non-dropping-particle" : "", "parse-names" : false, "suffix" : "" }, { "dropping-particle" : "", "family" : "Garc\u00eda", "given" : "Ricardo", "non-dropping-particle" : "", "parse-names" : false, "suffix" : "" } ], "container-title" : "Physical Review B", "id" : "ITEM-1", "issue" : "7", "issued" : { "date-parts" : [ [ "1999" ] ] }, "note" : "PRB", "page" : "4961-4967", "publisher" : "American Physical Society", "title" : "Attractive and repulsive tip-sample interaction regimes in tapping-mode atomic force microscopy", "type" : "article-journal", "volume" : "60" }, "uris" : [ "http://www.mendeley.com/documents/?uuid=009fcd13-f95c-48f3-933b-825c02737887" ] } ], "mendeley" : { "formattedCitation" : "&lt;sup&gt;52&lt;/sup&gt;", "plainTextFormattedCitation" : "52", "previouslyFormattedCitation" : "&lt;sup&gt;52&lt;/sup&gt;" }, "properties" : { "noteIndex" : 0 }, "schema" : "https://github.com/citation-style-language/schema/raw/master/csl-citation.json" }</w:instrText>
      </w:r>
      <w:r w:rsidR="00B43940" w:rsidRPr="00541955">
        <w:rPr>
          <w:color w:val="auto"/>
        </w:rPr>
        <w:fldChar w:fldCharType="separate"/>
      </w:r>
      <w:r w:rsidR="0044428A" w:rsidRPr="00541955">
        <w:rPr>
          <w:noProof/>
          <w:color w:val="auto"/>
          <w:vertAlign w:val="superscript"/>
        </w:rPr>
        <w:t>52</w:t>
      </w:r>
      <w:r w:rsidR="00B43940" w:rsidRPr="00541955">
        <w:rPr>
          <w:color w:val="auto"/>
        </w:rPr>
        <w:fldChar w:fldCharType="end"/>
      </w:r>
      <w:r w:rsidR="002C490B" w:rsidRPr="00B40EB2">
        <w:t xml:space="preserve"> </w:t>
      </w:r>
    </w:p>
    <w:p w:rsidR="008D6D27" w:rsidRDefault="00863B07" w:rsidP="005C5A1A">
      <w:pPr>
        <w:pStyle w:val="TAMainText"/>
        <w:ind w:firstLine="0"/>
      </w:pPr>
      <w:r w:rsidRPr="00B40EB2">
        <w:t>The</w:t>
      </w:r>
      <w:r w:rsidR="005F22C5" w:rsidRPr="00B40EB2">
        <w:t xml:space="preserve"> RMS roughness </w:t>
      </w:r>
      <w:r w:rsidR="00F32A20" w:rsidRPr="00B40EB2">
        <w:t>for</w:t>
      </w:r>
      <w:r w:rsidR="005F22C5" w:rsidRPr="00B40EB2">
        <w:t xml:space="preserve"> the different functionalization steps (Fig</w:t>
      </w:r>
      <w:r w:rsidR="00F32A20" w:rsidRPr="00B40EB2">
        <w:t>.</w:t>
      </w:r>
      <w:r w:rsidR="005F22C5" w:rsidRPr="00B40EB2">
        <w:t xml:space="preserve"> </w:t>
      </w:r>
      <w:r w:rsidR="00F32A20" w:rsidRPr="00B40EB2">
        <w:t>5d</w:t>
      </w:r>
      <w:r w:rsidRPr="00B40EB2">
        <w:t>) follows the</w:t>
      </w:r>
      <w:r w:rsidR="005F22C5" w:rsidRPr="00B40EB2">
        <w:t xml:space="preserve"> same trend </w:t>
      </w:r>
      <w:r w:rsidRPr="00B40EB2">
        <w:t xml:space="preserve">both in air and </w:t>
      </w:r>
      <w:r w:rsidR="005C5A1A">
        <w:t>in phosphate buffer solution (</w:t>
      </w:r>
      <w:r w:rsidRPr="00B40EB2">
        <w:rPr>
          <w:color w:val="auto"/>
        </w:rPr>
        <w:t>PBS</w:t>
      </w:r>
      <w:r w:rsidR="005C5A1A">
        <w:rPr>
          <w:color w:val="auto"/>
        </w:rPr>
        <w:t>)</w:t>
      </w:r>
      <w:r w:rsidRPr="00B40EB2">
        <w:rPr>
          <w:color w:val="auto"/>
        </w:rPr>
        <w:t>. There is a decrease upon</w:t>
      </w:r>
      <w:r w:rsidR="005F22C5" w:rsidRPr="00B40EB2">
        <w:t xml:space="preserve"> </w:t>
      </w:r>
      <w:r w:rsidR="00B96C54" w:rsidRPr="00B40EB2">
        <w:t>PG</w:t>
      </w:r>
      <w:r w:rsidR="005F22C5" w:rsidRPr="00B40EB2">
        <w:t xml:space="preserve"> deposition </w:t>
      </w:r>
      <w:r w:rsidRPr="00B40EB2">
        <w:t xml:space="preserve">that is </w:t>
      </w:r>
      <w:r w:rsidR="005F22C5" w:rsidRPr="00B40EB2">
        <w:t>followed by an increase of 0.39 nm in air and 0.61 nm in PBS as a result of the antibod</w:t>
      </w:r>
      <w:r w:rsidR="00A261D1" w:rsidRPr="00B40EB2">
        <w:t>y</w:t>
      </w:r>
      <w:r w:rsidR="00B96C54" w:rsidRPr="00B40EB2">
        <w:t xml:space="preserve"> immobilization.</w:t>
      </w:r>
    </w:p>
    <w:p w:rsidR="005C5A1A" w:rsidRPr="005C5A1A" w:rsidRDefault="005C5A1A" w:rsidP="005C5A1A">
      <w:pPr>
        <w:pStyle w:val="TAMainText"/>
        <w:ind w:firstLine="0"/>
      </w:pPr>
    </w:p>
    <w:p w:rsidR="005F22C5" w:rsidRPr="00B40EB2" w:rsidRDefault="005F22C5" w:rsidP="008F5D4F">
      <w:pPr>
        <w:pStyle w:val="TAMainText"/>
        <w:spacing w:after="240"/>
        <w:ind w:firstLine="0"/>
        <w:jc w:val="left"/>
        <w:outlineLvl w:val="0"/>
        <w:rPr>
          <w:b/>
        </w:rPr>
      </w:pPr>
      <w:r w:rsidRPr="00B40EB2">
        <w:rPr>
          <w:b/>
        </w:rPr>
        <w:t>Single force spectroscopy</w:t>
      </w:r>
    </w:p>
    <w:p w:rsidR="000E7C3F" w:rsidRPr="00B40EB2" w:rsidRDefault="00863B07" w:rsidP="00B62182">
      <w:pPr>
        <w:pStyle w:val="TAMainText"/>
        <w:ind w:firstLine="0"/>
        <w:rPr>
          <w:color w:val="auto"/>
          <w:kern w:val="24"/>
          <w:shd w:val="clear" w:color="auto" w:fill="FFFFFF"/>
        </w:rPr>
      </w:pPr>
      <w:r w:rsidRPr="00B40EB2">
        <w:t xml:space="preserve">After assessing the successful immobilization </w:t>
      </w:r>
      <w:r w:rsidRPr="00B40EB2">
        <w:rPr>
          <w:color w:val="auto"/>
        </w:rPr>
        <w:t xml:space="preserve">of anti-IL4 on </w:t>
      </w:r>
      <w:r w:rsidR="00896F22" w:rsidRPr="004F5851">
        <w:rPr>
          <w:color w:val="auto"/>
        </w:rPr>
        <w:t>modified</w:t>
      </w:r>
      <w:r w:rsidR="00896F22" w:rsidRPr="00B40EB2">
        <w:rPr>
          <w:color w:val="auto"/>
        </w:rPr>
        <w:t xml:space="preserve"> </w:t>
      </w:r>
      <w:r w:rsidRPr="00B40EB2">
        <w:rPr>
          <w:color w:val="auto"/>
        </w:rPr>
        <w:t>gold substrates</w:t>
      </w:r>
      <w:r w:rsidRPr="00B40EB2">
        <w:t>, bio-molecular recognition has been studied by means of SFS</w:t>
      </w:r>
      <w:r w:rsidR="000344CE" w:rsidRPr="00B40EB2">
        <w:t xml:space="preserve"> using </w:t>
      </w:r>
      <w:r w:rsidR="0087125E" w:rsidRPr="00B40EB2">
        <w:t>probes</w:t>
      </w:r>
      <w:r w:rsidR="000344CE" w:rsidRPr="00B40EB2">
        <w:t xml:space="preserve"> functionalized with IL-4 </w:t>
      </w:r>
      <w:r w:rsidR="002005AB">
        <w:lastRenderedPageBreak/>
        <w:t>linked</w:t>
      </w:r>
      <w:r w:rsidR="000344CE" w:rsidRPr="00B40EB2">
        <w:t xml:space="preserve"> to </w:t>
      </w:r>
      <w:r w:rsidR="0087125E" w:rsidRPr="00B40EB2">
        <w:t xml:space="preserve">the tip by </w:t>
      </w:r>
      <w:r w:rsidR="000344CE" w:rsidRPr="00B40EB2">
        <w:t xml:space="preserve">a flexible PEGylated </w:t>
      </w:r>
      <w:r w:rsidR="002005AB">
        <w:t>chain</w:t>
      </w:r>
      <w:r w:rsidR="000344CE" w:rsidRPr="00B40EB2">
        <w:t xml:space="preserve"> (see </w:t>
      </w:r>
      <w:r w:rsidR="00807094">
        <w:t>Experimental Section</w:t>
      </w:r>
      <w:r w:rsidR="000344CE" w:rsidRPr="00B40EB2">
        <w:t xml:space="preserve">). </w:t>
      </w:r>
      <w:r w:rsidR="00B62182" w:rsidRPr="00B40EB2">
        <w:t>T</w:t>
      </w:r>
      <w:r w:rsidR="00B62182" w:rsidRPr="00B40EB2">
        <w:rPr>
          <w:color w:val="auto"/>
          <w:kern w:val="24"/>
          <w:shd w:val="clear" w:color="auto" w:fill="FFFFFF"/>
        </w:rPr>
        <w:t xml:space="preserve">he binding forces between the specific probe and anti-IL4 bound to the electrode surface were extracted </w:t>
      </w:r>
      <w:r w:rsidR="002005AB">
        <w:rPr>
          <w:color w:val="auto"/>
          <w:kern w:val="24"/>
          <w:shd w:val="clear" w:color="auto" w:fill="FFFFFF"/>
        </w:rPr>
        <w:t xml:space="preserve">from </w:t>
      </w:r>
      <w:r w:rsidR="00B62182" w:rsidRPr="00B40EB2">
        <w:rPr>
          <w:color w:val="auto"/>
          <w:kern w:val="24"/>
          <w:shd w:val="clear" w:color="auto" w:fill="FFFFFF"/>
        </w:rPr>
        <w:t xml:space="preserve">series of repeated force curves acquired </w:t>
      </w:r>
      <w:r w:rsidR="006A122B" w:rsidRPr="00B40EB2">
        <w:rPr>
          <w:color w:val="auto"/>
          <w:kern w:val="24"/>
          <w:shd w:val="clear" w:color="auto" w:fill="FFFFFF"/>
        </w:rPr>
        <w:t>on a 32 x 32 points grid o</w:t>
      </w:r>
      <w:r w:rsidR="002005AB">
        <w:rPr>
          <w:color w:val="auto"/>
          <w:kern w:val="24"/>
          <w:shd w:val="clear" w:color="auto" w:fill="FFFFFF"/>
        </w:rPr>
        <w:t>n an area of</w:t>
      </w:r>
      <w:r w:rsidR="006A122B" w:rsidRPr="00B40EB2">
        <w:rPr>
          <w:color w:val="auto"/>
          <w:kern w:val="24"/>
          <w:shd w:val="clear" w:color="auto" w:fill="FFFFFF"/>
        </w:rPr>
        <w:t xml:space="preserve"> 1 </w:t>
      </w:r>
      <w:r w:rsidR="006A122B" w:rsidRPr="00B40EB2">
        <w:rPr>
          <w:i/>
          <w:color w:val="auto"/>
          <w:kern w:val="24"/>
          <w:shd w:val="clear" w:color="auto" w:fill="FFFFFF"/>
        </w:rPr>
        <w:t>µ</w:t>
      </w:r>
      <w:r w:rsidR="006A122B" w:rsidRPr="00B40EB2">
        <w:rPr>
          <w:color w:val="auto"/>
          <w:kern w:val="24"/>
          <w:shd w:val="clear" w:color="auto" w:fill="FFFFFF"/>
        </w:rPr>
        <w:t xml:space="preserve">m x 1 </w:t>
      </w:r>
      <w:r w:rsidR="006A122B" w:rsidRPr="00B40EB2">
        <w:rPr>
          <w:i/>
          <w:color w:val="auto"/>
          <w:kern w:val="24"/>
          <w:shd w:val="clear" w:color="auto" w:fill="FFFFFF"/>
        </w:rPr>
        <w:t>µ</w:t>
      </w:r>
      <w:r w:rsidR="007B1B10">
        <w:rPr>
          <w:color w:val="auto"/>
          <w:kern w:val="24"/>
          <w:shd w:val="clear" w:color="auto" w:fill="FFFFFF"/>
        </w:rPr>
        <w:t xml:space="preserve">m (see </w:t>
      </w:r>
      <w:r w:rsidR="007B1B10" w:rsidRPr="004F5851">
        <w:rPr>
          <w:color w:val="auto"/>
          <w:kern w:val="24"/>
          <w:shd w:val="clear" w:color="auto" w:fill="FFFFFF"/>
        </w:rPr>
        <w:t>Experimental S</w:t>
      </w:r>
      <w:r w:rsidR="006A122B" w:rsidRPr="004F5851">
        <w:rPr>
          <w:color w:val="auto"/>
          <w:kern w:val="24"/>
          <w:shd w:val="clear" w:color="auto" w:fill="FFFFFF"/>
        </w:rPr>
        <w:t>ection</w:t>
      </w:r>
      <w:r w:rsidR="006A122B" w:rsidRPr="00B40EB2">
        <w:rPr>
          <w:color w:val="auto"/>
          <w:kern w:val="24"/>
          <w:shd w:val="clear" w:color="auto" w:fill="FFFFFF"/>
        </w:rPr>
        <w:t>).</w:t>
      </w:r>
    </w:p>
    <w:p w:rsidR="000E7C3F" w:rsidRPr="00B40EB2" w:rsidRDefault="000E7C3F" w:rsidP="000E7C3F">
      <w:pPr>
        <w:pStyle w:val="TAMainText"/>
        <w:ind w:firstLine="720"/>
        <w:rPr>
          <w:rFonts w:cs="Arial"/>
        </w:rPr>
      </w:pPr>
      <w:r w:rsidRPr="004F5851">
        <w:rPr>
          <w:color w:val="auto"/>
          <w:kern w:val="24"/>
          <w:shd w:val="clear" w:color="auto" w:fill="FFFFFF"/>
        </w:rPr>
        <w:t xml:space="preserve">Fig. </w:t>
      </w:r>
      <w:r w:rsidR="00446449" w:rsidRPr="004F5851">
        <w:rPr>
          <w:color w:val="auto"/>
          <w:kern w:val="24"/>
          <w:shd w:val="clear" w:color="auto" w:fill="FFFFFF"/>
        </w:rPr>
        <w:t>6</w:t>
      </w:r>
      <w:r w:rsidRPr="004F5851">
        <w:rPr>
          <w:color w:val="auto"/>
          <w:kern w:val="24"/>
          <w:shd w:val="clear" w:color="auto" w:fill="FFFFFF"/>
        </w:rPr>
        <w:t xml:space="preserve">a </w:t>
      </w:r>
      <w:r w:rsidR="00D677DE" w:rsidRPr="004F5851">
        <w:rPr>
          <w:color w:val="auto"/>
          <w:kern w:val="24"/>
          <w:shd w:val="clear" w:color="auto" w:fill="FFFFFF"/>
        </w:rPr>
        <w:t xml:space="preserve">and Fig. 6b </w:t>
      </w:r>
      <w:r w:rsidR="00285EBA" w:rsidRPr="004F5851">
        <w:rPr>
          <w:color w:val="auto"/>
          <w:kern w:val="24"/>
          <w:shd w:val="clear" w:color="auto" w:fill="FFFFFF"/>
        </w:rPr>
        <w:t>show the 2D-histograms containing the number of events with a given unbinding force (</w:t>
      </w:r>
      <w:r w:rsidR="00285EBA" w:rsidRPr="004F5851">
        <w:rPr>
          <w:i/>
          <w:color w:val="auto"/>
          <w:kern w:val="24"/>
          <w:shd w:val="clear" w:color="auto" w:fill="FFFFFF"/>
        </w:rPr>
        <w:t>F</w:t>
      </w:r>
      <w:r w:rsidR="00285EBA" w:rsidRPr="004F5851">
        <w:rPr>
          <w:i/>
          <w:color w:val="auto"/>
          <w:kern w:val="24"/>
          <w:shd w:val="clear" w:color="auto" w:fill="FFFFFF"/>
          <w:vertAlign w:val="subscript"/>
        </w:rPr>
        <w:t>ub</w:t>
      </w:r>
      <w:r w:rsidR="00285EBA" w:rsidRPr="004F5851">
        <w:rPr>
          <w:color w:val="auto"/>
          <w:kern w:val="24"/>
          <w:shd w:val="clear" w:color="auto" w:fill="FFFFFF"/>
        </w:rPr>
        <w:t>) and unbinding length (</w:t>
      </w:r>
      <w:r w:rsidR="00285EBA" w:rsidRPr="004F5851">
        <w:rPr>
          <w:i/>
          <w:color w:val="auto"/>
          <w:kern w:val="24"/>
          <w:shd w:val="clear" w:color="auto" w:fill="FFFFFF"/>
        </w:rPr>
        <w:t>L</w:t>
      </w:r>
      <w:r w:rsidR="00285EBA" w:rsidRPr="004F5851">
        <w:rPr>
          <w:i/>
          <w:color w:val="auto"/>
          <w:kern w:val="24"/>
          <w:shd w:val="clear" w:color="auto" w:fill="FFFFFF"/>
          <w:vertAlign w:val="subscript"/>
        </w:rPr>
        <w:t>ub</w:t>
      </w:r>
      <w:r w:rsidR="00285EBA" w:rsidRPr="004F5851">
        <w:rPr>
          <w:color w:val="auto"/>
          <w:kern w:val="24"/>
          <w:shd w:val="clear" w:color="auto" w:fill="FFFFFF"/>
        </w:rPr>
        <w:t xml:space="preserve">) </w:t>
      </w:r>
      <w:r w:rsidRPr="004F5851">
        <w:rPr>
          <w:color w:val="auto"/>
          <w:kern w:val="24"/>
          <w:shd w:val="clear" w:color="auto" w:fill="FFFFFF"/>
        </w:rPr>
        <w:t>for PG-</w:t>
      </w:r>
      <w:r w:rsidR="00285EBA" w:rsidRPr="004F5851">
        <w:rPr>
          <w:color w:val="auto"/>
          <w:kern w:val="24"/>
          <w:shd w:val="clear" w:color="auto" w:fill="FFFFFF"/>
        </w:rPr>
        <w:t xml:space="preserve"> and</w:t>
      </w:r>
      <w:r w:rsidRPr="004F5851">
        <w:rPr>
          <w:color w:val="auto"/>
          <w:kern w:val="24"/>
          <w:shd w:val="clear" w:color="auto" w:fill="FFFFFF"/>
        </w:rPr>
        <w:t xml:space="preserve"> HS</w:t>
      </w:r>
      <w:r w:rsidR="00285EBA" w:rsidRPr="004F5851">
        <w:rPr>
          <w:color w:val="auto"/>
          <w:kern w:val="24"/>
          <w:shd w:val="clear" w:color="auto" w:fill="FFFFFF"/>
        </w:rPr>
        <w:t>C6NH2-functionalized electrodes, respectively</w:t>
      </w:r>
      <w:r w:rsidR="00C23087" w:rsidRPr="004F5851">
        <w:rPr>
          <w:color w:val="auto"/>
          <w:kern w:val="24"/>
          <w:shd w:val="clear" w:color="auto" w:fill="FFFFFF"/>
        </w:rPr>
        <w:t>.</w:t>
      </w:r>
      <w:r w:rsidRPr="00B40EB2">
        <w:rPr>
          <w:color w:val="auto"/>
          <w:kern w:val="24"/>
          <w:shd w:val="clear" w:color="auto" w:fill="FFFFFF"/>
        </w:rPr>
        <w:t xml:space="preserve"> </w:t>
      </w:r>
      <w:r w:rsidRPr="00B40EB2">
        <w:rPr>
          <w:rFonts w:cs="Arial"/>
        </w:rPr>
        <w:t xml:space="preserve">These histograms cluster together the curves with similar values of the </w:t>
      </w:r>
      <w:r w:rsidR="00B50186" w:rsidRPr="00B40EB2">
        <w:rPr>
          <w:rFonts w:cs="Arial"/>
        </w:rPr>
        <w:t>un</w:t>
      </w:r>
      <w:r w:rsidRPr="00B40EB2">
        <w:rPr>
          <w:rFonts w:cs="Arial"/>
        </w:rPr>
        <w:t xml:space="preserve">binding forces and </w:t>
      </w:r>
      <w:r w:rsidR="00B50186" w:rsidRPr="00B40EB2">
        <w:rPr>
          <w:rFonts w:cs="Arial"/>
        </w:rPr>
        <w:t>un</w:t>
      </w:r>
      <w:r w:rsidRPr="00B40EB2">
        <w:rPr>
          <w:rFonts w:cs="Arial"/>
        </w:rPr>
        <w:t xml:space="preserve">binding </w:t>
      </w:r>
      <w:r w:rsidR="001E0C65" w:rsidRPr="00B40EB2">
        <w:rPr>
          <w:rFonts w:cs="Arial"/>
        </w:rPr>
        <w:t>distance. Each point</w:t>
      </w:r>
      <w:r w:rsidR="00B50186" w:rsidRPr="00B40EB2">
        <w:rPr>
          <w:rFonts w:cs="Arial"/>
        </w:rPr>
        <w:t xml:space="preserve"> (</w:t>
      </w:r>
      <w:r w:rsidR="00B6216F">
        <w:rPr>
          <w:rFonts w:cs="Arial"/>
        </w:rPr>
        <w:t>represented as a</w:t>
      </w:r>
      <w:r w:rsidR="00B50186" w:rsidRPr="00B40EB2">
        <w:rPr>
          <w:rFonts w:cs="Arial"/>
        </w:rPr>
        <w:t xml:space="preserve"> </w:t>
      </w:r>
      <w:r w:rsidR="002005AB">
        <w:rPr>
          <w:rFonts w:cs="Arial"/>
        </w:rPr>
        <w:t>hexagon</w:t>
      </w:r>
      <w:r w:rsidR="00B50186" w:rsidRPr="00B40EB2">
        <w:rPr>
          <w:rFonts w:cs="Arial"/>
        </w:rPr>
        <w:t>)</w:t>
      </w:r>
      <w:r w:rsidR="001E0C65" w:rsidRPr="00B40EB2">
        <w:rPr>
          <w:rFonts w:cs="Arial"/>
        </w:rPr>
        <w:t xml:space="preserve"> in the 2D h</w:t>
      </w:r>
      <w:r w:rsidR="00183764" w:rsidRPr="00B40EB2">
        <w:rPr>
          <w:rFonts w:cs="Arial"/>
        </w:rPr>
        <w:t>i</w:t>
      </w:r>
      <w:r w:rsidR="001E0C65" w:rsidRPr="00B40EB2">
        <w:rPr>
          <w:rFonts w:cs="Arial"/>
        </w:rPr>
        <w:t>stograms contains the force curves corresponding to</w:t>
      </w:r>
      <w:r w:rsidRPr="00B40EB2">
        <w:rPr>
          <w:rFonts w:cs="Arial"/>
        </w:rPr>
        <w:t xml:space="preserve"> different type of events. </w:t>
      </w:r>
      <w:r w:rsidR="001E0C65" w:rsidRPr="00B40EB2">
        <w:rPr>
          <w:rFonts w:cs="Arial"/>
        </w:rPr>
        <w:t xml:space="preserve">As an example, </w:t>
      </w:r>
      <w:r w:rsidRPr="00B40EB2">
        <w:rPr>
          <w:rFonts w:cs="Arial"/>
        </w:rPr>
        <w:t>Fig</w:t>
      </w:r>
      <w:r w:rsidR="001E0C65" w:rsidRPr="00B40EB2">
        <w:rPr>
          <w:rFonts w:cs="Arial"/>
        </w:rPr>
        <w:t>.</w:t>
      </w:r>
      <w:r w:rsidRPr="00B40EB2">
        <w:rPr>
          <w:rFonts w:cs="Arial"/>
        </w:rPr>
        <w:t xml:space="preserve">s </w:t>
      </w:r>
      <w:r w:rsidR="00645956" w:rsidRPr="00B40EB2">
        <w:rPr>
          <w:rFonts w:cs="Arial"/>
        </w:rPr>
        <w:t>6</w:t>
      </w:r>
      <w:r w:rsidR="001E0C65" w:rsidRPr="00B40EB2">
        <w:rPr>
          <w:rFonts w:cs="Arial"/>
        </w:rPr>
        <w:t>c</w:t>
      </w:r>
      <w:r w:rsidRPr="00B40EB2">
        <w:rPr>
          <w:rFonts w:cs="Arial"/>
        </w:rPr>
        <w:t xml:space="preserve"> and </w:t>
      </w:r>
      <w:r w:rsidR="00645956" w:rsidRPr="00B40EB2">
        <w:rPr>
          <w:rFonts w:cs="Arial"/>
        </w:rPr>
        <w:t>6d</w:t>
      </w:r>
      <w:r w:rsidRPr="00B40EB2">
        <w:rPr>
          <w:rFonts w:cs="Arial"/>
        </w:rPr>
        <w:t xml:space="preserve"> show </w:t>
      </w:r>
      <w:r w:rsidR="003238FE" w:rsidRPr="00B40EB2">
        <w:rPr>
          <w:rFonts w:cs="Arial"/>
        </w:rPr>
        <w:t>a representative force curve</w:t>
      </w:r>
      <w:r w:rsidRPr="00B40EB2">
        <w:rPr>
          <w:rFonts w:cs="Arial"/>
        </w:rPr>
        <w:t xml:space="preserve"> for </w:t>
      </w:r>
      <w:r w:rsidR="001E0C65" w:rsidRPr="00B40EB2">
        <w:rPr>
          <w:rFonts w:cs="Arial"/>
        </w:rPr>
        <w:t>one of the hexagons</w:t>
      </w:r>
      <w:r w:rsidRPr="00B40EB2">
        <w:rPr>
          <w:rFonts w:cs="Arial"/>
        </w:rPr>
        <w:t xml:space="preserve"> in </w:t>
      </w:r>
      <w:r w:rsidR="001E0C65" w:rsidRPr="00B40EB2">
        <w:rPr>
          <w:rFonts w:cs="Arial"/>
        </w:rPr>
        <w:t>Fig.s</w:t>
      </w:r>
      <w:r w:rsidRPr="00B40EB2">
        <w:rPr>
          <w:rFonts w:cs="Arial"/>
        </w:rPr>
        <w:t xml:space="preserve"> </w:t>
      </w:r>
      <w:r w:rsidR="00645956" w:rsidRPr="00B40EB2">
        <w:rPr>
          <w:rFonts w:cs="Arial"/>
        </w:rPr>
        <w:t>6</w:t>
      </w:r>
      <w:r w:rsidRPr="00B40EB2">
        <w:rPr>
          <w:rFonts w:cs="Arial"/>
        </w:rPr>
        <w:t xml:space="preserve">a and </w:t>
      </w:r>
      <w:r w:rsidR="00645956" w:rsidRPr="00B40EB2">
        <w:rPr>
          <w:rFonts w:cs="Arial"/>
        </w:rPr>
        <w:t>6</w:t>
      </w:r>
      <w:r w:rsidRPr="00B40EB2">
        <w:rPr>
          <w:rFonts w:cs="Arial"/>
        </w:rPr>
        <w:t>b.</w:t>
      </w:r>
      <w:r w:rsidR="002005AB">
        <w:rPr>
          <w:rFonts w:cs="Arial"/>
        </w:rPr>
        <w:t xml:space="preserve"> The noisy and adhesive behavio</w:t>
      </w:r>
      <w:r w:rsidRPr="00B40EB2">
        <w:rPr>
          <w:rFonts w:cs="Arial"/>
        </w:rPr>
        <w:t xml:space="preserve">r observed in the force curves is related to the fact that the measurements were performed on a </w:t>
      </w:r>
      <w:r w:rsidR="006D3F4F">
        <w:rPr>
          <w:rFonts w:cs="Arial"/>
        </w:rPr>
        <w:t xml:space="preserve">real </w:t>
      </w:r>
      <w:r w:rsidRPr="00B40EB2">
        <w:rPr>
          <w:rFonts w:cs="Arial"/>
        </w:rPr>
        <w:t>technological surface like polycrystalline gold</w:t>
      </w:r>
      <w:r w:rsidR="001E0C65" w:rsidRPr="00B40EB2">
        <w:rPr>
          <w:rFonts w:cs="Arial"/>
        </w:rPr>
        <w:t xml:space="preserve">, instead of prototypical </w:t>
      </w:r>
      <w:r w:rsidRPr="00B40EB2">
        <w:rPr>
          <w:rFonts w:cs="Arial"/>
        </w:rPr>
        <w:t>substrates such as mica</w:t>
      </w:r>
      <w:r w:rsidR="00220159" w:rsidRPr="004F5851">
        <w:rPr>
          <w:rFonts w:cs="Arial"/>
        </w:rPr>
        <w:t>, which</w:t>
      </w:r>
      <w:r w:rsidRPr="004F5851">
        <w:rPr>
          <w:rFonts w:cs="Arial"/>
        </w:rPr>
        <w:t xml:space="preserve"> </w:t>
      </w:r>
      <w:r w:rsidR="006D3F4F">
        <w:rPr>
          <w:rFonts w:cs="Arial"/>
        </w:rPr>
        <w:t>is</w:t>
      </w:r>
      <w:r w:rsidRPr="00B40EB2">
        <w:rPr>
          <w:rFonts w:cs="Arial"/>
        </w:rPr>
        <w:t xml:space="preserve"> </w:t>
      </w:r>
      <w:r w:rsidR="006D3F4F">
        <w:rPr>
          <w:rFonts w:cs="Arial"/>
        </w:rPr>
        <w:t xml:space="preserve">atomically flat on large areas </w:t>
      </w:r>
      <w:r w:rsidRPr="00B40EB2">
        <w:rPr>
          <w:rFonts w:cs="Arial"/>
        </w:rPr>
        <w:t xml:space="preserve">and </w:t>
      </w:r>
      <w:r w:rsidR="006D3F4F">
        <w:rPr>
          <w:rFonts w:cs="Arial"/>
        </w:rPr>
        <w:t xml:space="preserve">more </w:t>
      </w:r>
      <w:r w:rsidRPr="00B40EB2">
        <w:rPr>
          <w:rFonts w:cs="Arial"/>
        </w:rPr>
        <w:t>homogenous.</w:t>
      </w:r>
    </w:p>
    <w:p w:rsidR="000B2690" w:rsidRPr="00B40EB2" w:rsidRDefault="000B2690" w:rsidP="00735CE0">
      <w:pPr>
        <w:spacing w:line="480" w:lineRule="auto"/>
        <w:rPr>
          <w:rFonts w:cs="Arial"/>
          <w:highlight w:val="yellow"/>
          <w:shd w:val="clear" w:color="auto" w:fill="FFFFFF"/>
        </w:rPr>
      </w:pPr>
      <w:r w:rsidRPr="00B40EB2">
        <w:rPr>
          <w:rFonts w:cs="Arial"/>
        </w:rPr>
        <w:t xml:space="preserve">Regarding unbinding lengths, </w:t>
      </w:r>
      <w:r w:rsidR="00C22E80">
        <w:rPr>
          <w:rFonts w:cs="Arial"/>
        </w:rPr>
        <w:t>all</w:t>
      </w:r>
      <w:r w:rsidRPr="00B40EB2">
        <w:rPr>
          <w:rFonts w:cs="Arial"/>
        </w:rPr>
        <w:t xml:space="preserve"> events occur in the 20-40 nm range with a </w:t>
      </w:r>
      <w:r w:rsidR="00C22E80">
        <w:rPr>
          <w:rFonts w:cs="Arial"/>
        </w:rPr>
        <w:t xml:space="preserve">dispersion </w:t>
      </w:r>
      <w:r w:rsidR="005E1160">
        <w:rPr>
          <w:rFonts w:cs="Arial"/>
        </w:rPr>
        <w:t xml:space="preserve">ranging </w:t>
      </w:r>
      <w:r w:rsidR="005E1160" w:rsidRPr="00B40EB2">
        <w:rPr>
          <w:rFonts w:cs="Arial"/>
        </w:rPr>
        <w:t>from</w:t>
      </w:r>
      <w:r w:rsidRPr="00B40EB2">
        <w:rPr>
          <w:rFonts w:cs="Arial"/>
        </w:rPr>
        <w:t xml:space="preserve"> 10 to &gt;50 nm corresponding to </w:t>
      </w:r>
      <w:r w:rsidR="005C5A1A">
        <w:rPr>
          <w:rFonts w:cs="Arial"/>
        </w:rPr>
        <w:t>the PG-coated Au surface</w:t>
      </w:r>
      <w:r w:rsidRPr="00B40EB2">
        <w:rPr>
          <w:rFonts w:cs="Arial"/>
        </w:rPr>
        <w:t xml:space="preserve">. </w:t>
      </w:r>
      <w:r w:rsidR="005C5A1A">
        <w:rPr>
          <w:rFonts w:cs="Arial"/>
        </w:rPr>
        <w:t xml:space="preserve">The </w:t>
      </w:r>
      <w:r w:rsidRPr="00B40EB2">
        <w:rPr>
          <w:rFonts w:cs="Arial"/>
        </w:rPr>
        <w:t>most</w:t>
      </w:r>
      <w:r w:rsidR="00C22E80">
        <w:rPr>
          <w:rFonts w:cs="Arial"/>
        </w:rPr>
        <w:t xml:space="preserve"> probable</w:t>
      </w:r>
      <w:r w:rsidRPr="00B40EB2">
        <w:rPr>
          <w:rFonts w:cs="Arial"/>
        </w:rPr>
        <w:t xml:space="preserve"> unbinding lengths occur in t</w:t>
      </w:r>
      <w:r w:rsidR="00C22E80">
        <w:rPr>
          <w:rFonts w:cs="Arial"/>
        </w:rPr>
        <w:t xml:space="preserve">he 10-20 nm range with dispersion ranging </w:t>
      </w:r>
      <w:r w:rsidRPr="00B40EB2">
        <w:rPr>
          <w:rFonts w:cs="Arial"/>
        </w:rPr>
        <w:t>from 10 to 35 nm</w:t>
      </w:r>
      <w:r w:rsidR="005C5A1A">
        <w:rPr>
          <w:rFonts w:cs="Arial"/>
        </w:rPr>
        <w:t xml:space="preserve"> f</w:t>
      </w:r>
      <w:r w:rsidR="005C5A1A" w:rsidRPr="00B40EB2">
        <w:rPr>
          <w:rFonts w:cs="Arial"/>
        </w:rPr>
        <w:t>or anti-IL4/HSC6NH2/Au</w:t>
      </w:r>
      <w:r w:rsidR="005C5A1A">
        <w:rPr>
          <w:rFonts w:cs="Arial"/>
        </w:rPr>
        <w:t xml:space="preserve"> surface</w:t>
      </w:r>
      <w:r w:rsidRPr="00B40EB2">
        <w:rPr>
          <w:rFonts w:cs="Arial"/>
        </w:rPr>
        <w:t xml:space="preserve">. </w:t>
      </w:r>
      <w:r w:rsidR="00C22E80">
        <w:rPr>
          <w:rFonts w:cs="Arial"/>
        </w:rPr>
        <w:t>We infer that for</w:t>
      </w:r>
      <w:r w:rsidR="00C22E80" w:rsidRPr="00B40EB2">
        <w:rPr>
          <w:rFonts w:cs="Arial"/>
        </w:rPr>
        <w:t xml:space="preserve"> </w:t>
      </w:r>
      <w:r w:rsidR="00C22E80">
        <w:rPr>
          <w:rFonts w:cs="Arial"/>
        </w:rPr>
        <w:t>PG/Au</w:t>
      </w:r>
      <w:r w:rsidR="00C22E80" w:rsidRPr="00B40EB2">
        <w:rPr>
          <w:rFonts w:cs="Arial"/>
        </w:rPr>
        <w:t xml:space="preserve"> </w:t>
      </w:r>
      <w:r w:rsidR="00C22E80">
        <w:rPr>
          <w:rFonts w:cs="Arial"/>
        </w:rPr>
        <w:t xml:space="preserve">electrodes </w:t>
      </w:r>
      <w:r w:rsidRPr="00B40EB2">
        <w:rPr>
          <w:rFonts w:cs="Arial"/>
        </w:rPr>
        <w:t xml:space="preserve">unbinding events are more spread </w:t>
      </w:r>
      <w:r w:rsidR="00C22E80">
        <w:rPr>
          <w:rFonts w:cs="Arial"/>
        </w:rPr>
        <w:t>out</w:t>
      </w:r>
      <w:r w:rsidRPr="00B40EB2">
        <w:rPr>
          <w:rFonts w:cs="Arial"/>
        </w:rPr>
        <w:t xml:space="preserve"> </w:t>
      </w:r>
      <w:r w:rsidR="00C22E80">
        <w:rPr>
          <w:rFonts w:cs="Arial"/>
        </w:rPr>
        <w:t xml:space="preserve">at </w:t>
      </w:r>
      <w:r w:rsidRPr="00B40EB2">
        <w:rPr>
          <w:rFonts w:cs="Arial"/>
        </w:rPr>
        <w:t>different lengths</w:t>
      </w:r>
      <w:r w:rsidR="00C22E80">
        <w:rPr>
          <w:rFonts w:cs="Arial"/>
        </w:rPr>
        <w:t xml:space="preserve">, and their </w:t>
      </w:r>
      <w:r w:rsidRPr="00B40EB2">
        <w:rPr>
          <w:rFonts w:cs="Arial"/>
        </w:rPr>
        <w:t xml:space="preserve">unbinding distance is further away from the surface. </w:t>
      </w:r>
      <w:r w:rsidRPr="00B40EB2">
        <w:rPr>
          <w:rFonts w:cs="Arial"/>
          <w:shd w:val="clear" w:color="auto" w:fill="FFFFFF"/>
        </w:rPr>
        <w:t>Th</w:t>
      </w:r>
      <w:r w:rsidR="00C22E80">
        <w:rPr>
          <w:rFonts w:cs="Arial"/>
          <w:shd w:val="clear" w:color="auto" w:fill="FFFFFF"/>
        </w:rPr>
        <w:t>is</w:t>
      </w:r>
      <w:r w:rsidRPr="00B40EB2">
        <w:rPr>
          <w:rFonts w:cs="Arial"/>
          <w:shd w:val="clear" w:color="auto" w:fill="FFFFFF"/>
        </w:rPr>
        <w:t xml:space="preserve"> observation </w:t>
      </w:r>
      <w:r w:rsidR="00735CE0" w:rsidRPr="00B40EB2">
        <w:rPr>
          <w:rFonts w:cs="Arial"/>
          <w:shd w:val="clear" w:color="auto" w:fill="FFFFFF"/>
        </w:rPr>
        <w:t>is consistent with the presence of a larger fraction</w:t>
      </w:r>
      <w:r w:rsidR="00DB0D7C">
        <w:rPr>
          <w:rFonts w:cs="Arial"/>
          <w:shd w:val="clear" w:color="auto" w:fill="FFFFFF"/>
        </w:rPr>
        <w:t xml:space="preserve"> of oriented antibodies in a standing </w:t>
      </w:r>
      <w:r w:rsidR="00735CE0" w:rsidRPr="00B40EB2">
        <w:rPr>
          <w:rFonts w:cs="Arial"/>
          <w:shd w:val="clear" w:color="auto" w:fill="FFFFFF"/>
        </w:rPr>
        <w:t>Y-shape configuration</w:t>
      </w:r>
      <w:r w:rsidR="00DB0D7C">
        <w:rPr>
          <w:rFonts w:cs="Arial"/>
          <w:shd w:val="clear" w:color="auto" w:fill="FFFFFF"/>
        </w:rPr>
        <w:t>,</w:t>
      </w:r>
      <w:r w:rsidR="00B43940" w:rsidRPr="00541955">
        <w:rPr>
          <w:rFonts w:cs="Arial"/>
          <w:shd w:val="clear" w:color="auto" w:fill="FFFFFF"/>
        </w:rPr>
        <w:fldChar w:fldCharType="begin" w:fldLock="1"/>
      </w:r>
      <w:r w:rsidR="0044428A" w:rsidRPr="00541955">
        <w:rPr>
          <w:rFonts w:cs="Arial"/>
          <w:shd w:val="clear" w:color="auto" w:fill="FFFFFF"/>
        </w:rPr>
        <w:instrText>ADDIN CSL_CITATION { "citationItems" : [ { "id" : "ITEM-1", "itemData" : { "author" : [ { "dropping-particle" : "", "family" : "Zhao", "given" : "Xiubo", "non-dropping-particle" : "", "parse-names" : false, "suffix" : "" }, { "dropping-particle" : "", "family" : "Yaseen", "given" : "Mohammed", "non-dropping-particle" : "", "parse-names" : false, "suffix" : "" }, { "dropping-particle" : "", "family" : "Pan", "given" : "Fang", "non-dropping-particle" : "", "parse-names" : false, "suffix" : "" }, { "dropping-particle" : "", "family" : "Lu", "given" : "Jian R", "non-dropping-particle" : "", "parse-names" : false, "suffix" : "" }, { "dropping-particle" : "", "family" : "Street", "given" : "Mappin", "non-dropping-particle" : "", "parse-names" : false, "suffix" : "" }, { "dropping-particle" : "", "family" : "Sheffield", "given" : "S", "non-dropping-particle" : "", "parse-names" : false, "suffix" : "" } ], "id" : "ITEM-1", "issued" : { "date-parts" : [ [ "2012" ] ] }, "page" : "543-574", "title" : "Protein and Interfaces III. State of the art", "type" : "book" }, "uris" : [ "http://www.mendeley.com/documents/?uuid=b01be8f9-6c24-4d85-b820-b20bfac7c96b" ] } ], "mendeley" : { "formattedCitation" : "&lt;sup&gt;53&lt;/sup&gt;", "plainTextFormattedCitation" : "53", "previouslyFormattedCitation" : "&lt;sup&gt;53&lt;/sup&gt;" }, "properties" : { "noteIndex" : 0 }, "schema" : "https://github.com/citation-style-language/schema/raw/master/csl-citation.json" }</w:instrText>
      </w:r>
      <w:r w:rsidR="00B43940" w:rsidRPr="00541955">
        <w:rPr>
          <w:rFonts w:cs="Arial"/>
          <w:shd w:val="clear" w:color="auto" w:fill="FFFFFF"/>
        </w:rPr>
        <w:fldChar w:fldCharType="separate"/>
      </w:r>
      <w:r w:rsidR="0044428A" w:rsidRPr="00541955">
        <w:rPr>
          <w:rFonts w:cs="Arial"/>
          <w:noProof/>
          <w:shd w:val="clear" w:color="auto" w:fill="FFFFFF"/>
          <w:vertAlign w:val="superscript"/>
        </w:rPr>
        <w:t>53</w:t>
      </w:r>
      <w:r w:rsidR="00B43940" w:rsidRPr="00541955">
        <w:rPr>
          <w:rFonts w:cs="Arial"/>
          <w:shd w:val="clear" w:color="auto" w:fill="FFFFFF"/>
        </w:rPr>
        <w:fldChar w:fldCharType="end"/>
      </w:r>
      <w:r w:rsidR="00DB0D7C">
        <w:rPr>
          <w:rFonts w:cs="Arial"/>
          <w:shd w:val="clear" w:color="auto" w:fill="FFFFFF"/>
        </w:rPr>
        <w:t xml:space="preserve"> since i</w:t>
      </w:r>
      <w:r w:rsidR="00735CE0" w:rsidRPr="00B40EB2">
        <w:rPr>
          <w:rFonts w:cs="Arial"/>
          <w:shd w:val="clear" w:color="auto" w:fill="FFFFFF"/>
        </w:rPr>
        <w:t>n this case we expect that the unbinding event take</w:t>
      </w:r>
      <w:r w:rsidR="00B03164">
        <w:rPr>
          <w:rFonts w:cs="Arial"/>
          <w:shd w:val="clear" w:color="auto" w:fill="FFFFFF"/>
        </w:rPr>
        <w:t>s</w:t>
      </w:r>
      <w:r w:rsidR="00735CE0" w:rsidRPr="00B40EB2">
        <w:rPr>
          <w:rFonts w:cs="Arial"/>
          <w:shd w:val="clear" w:color="auto" w:fill="FFFFFF"/>
        </w:rPr>
        <w:t xml:space="preserve"> place further away from the surface. Additionally, the Fab fragments of an IgG antibody are linked to the Fc fragment through di</w:t>
      </w:r>
      <w:r w:rsidR="00DB0D7C">
        <w:rPr>
          <w:rFonts w:cs="Arial"/>
          <w:shd w:val="clear" w:color="auto" w:fill="FFFFFF"/>
        </w:rPr>
        <w:t>-</w:t>
      </w:r>
      <w:r w:rsidR="00735CE0" w:rsidRPr="00B40EB2">
        <w:rPr>
          <w:rFonts w:cs="Arial"/>
          <w:shd w:val="clear" w:color="auto" w:fill="FFFFFF"/>
        </w:rPr>
        <w:t>sulph</w:t>
      </w:r>
      <w:r w:rsidR="00DB0D7C">
        <w:rPr>
          <w:rFonts w:cs="Arial"/>
          <w:shd w:val="clear" w:color="auto" w:fill="FFFFFF"/>
        </w:rPr>
        <w:t>i</w:t>
      </w:r>
      <w:r w:rsidR="00735CE0" w:rsidRPr="00B40EB2">
        <w:rPr>
          <w:rFonts w:cs="Arial"/>
          <w:shd w:val="clear" w:color="auto" w:fill="FFFFFF"/>
        </w:rPr>
        <w:t xml:space="preserve">de bonds, resulting in an increased flexibility of these </w:t>
      </w:r>
      <w:r w:rsidR="00735CE0" w:rsidRPr="00B40EB2">
        <w:rPr>
          <w:rFonts w:cs="Arial"/>
          <w:shd w:val="clear" w:color="auto" w:fill="FFFFFF"/>
        </w:rPr>
        <w:lastRenderedPageBreak/>
        <w:t>fragments.</w:t>
      </w:r>
      <w:r w:rsidR="00B43940" w:rsidRPr="00541955">
        <w:rPr>
          <w:rFonts w:cs="Arial"/>
          <w:shd w:val="clear" w:color="auto" w:fill="FFFFFF"/>
        </w:rPr>
        <w:fldChar w:fldCharType="begin" w:fldLock="1"/>
      </w:r>
      <w:r w:rsidR="0044428A" w:rsidRPr="00541955">
        <w:rPr>
          <w:rFonts w:cs="Arial"/>
          <w:shd w:val="clear" w:color="auto" w:fill="FFFFFF"/>
        </w:rPr>
        <w:instrText>ADDIN CSL_CITATION { "citationItems" : [ { "id" : "ITEM-1", "itemData" : { "DOI" : "10.1038/nmat3847", "ISSN" : "1476-1122", "PMID" : "24441879", "abstract" : "The conformational flexibility of antibodies in solution directly affects their immune function. Namely, the flexible hinge regions of immunoglobulin G (IgG) antibodies are essential in epitope-specific antigen recognition and biological effector function. The antibody structure, which is strongly related to its functions, has been partially revealed by electron microscopy and X-ray crystallography, but only under non-physiological conditions. Here we observed monoclonal IgG antibodies in aqueous solution by high-resolution frequency modulation atomic force microscopy (FM-AFM). We found that monoclonal antibodies self-assemble into hexamers, which form two-dimensional crystals in aqueous solution. Furthermore, by directly observing antibody-antigen interactions using FM-AFM, we revealed that IgG molecules in the crystal retain immunoactivity. As the self-assembled monolayer crystal of antibodies retains immunoactivity at a neutral pH and is functionally stable at a wide range of pH and temperature, the antibody crystal is applicable to new biotechnological platforms for biosensors or bioassays.", "author" : [ { "dropping-particle" : "", "family" : "Ido", "given" : "Shinichiro", "non-dropping-particle" : "", "parse-names" : false, "suffix" : "" }, { "dropping-particle" : "", "family" : "Kimiya", "given" : "Hirokazu", "non-dropping-particle" : "", "parse-names" : false, "suffix" : "" }, { "dropping-particle" : "", "family" : "Kobayashi", "given" : "Kei", "non-dropping-particle" : "", "parse-names" : false, "suffix" : "" }, { "dropping-particle" : "", "family" : "Kominami", "given" : "Hiroaki", "non-dropping-particle" : "", "parse-names" : false, "suffix" : "" }, { "dropping-particle" : "", "family" : "Matsushige", "given" : "Kazumi", "non-dropping-particle" : "", "parse-names" : false, "suffix" : "" }, { "dropping-particle" : "", "family" : "Yamada", "given" : "Hirofumi", "non-dropping-particle" : "", "parse-names" : false, "suffix" : "" } ], "container-title" : "Nature materials", "id" : "ITEM-1", "issue" : "3", "issued" : { "date-parts" : [ [ "2014", "3" ] ] }, "page" : "264-270", "publisher" : "Nature Publishing Group", "title" : "Immunoactive two-dimensional self-assembly of monoclonal antibodies in aqueous solution revealed by atomic force microscopy.", "type" : "article-journal", "volume" : "13" }, "uris" : [ "http://www.mendeley.com/documents/?uuid=a47d4ce7-6aca-4657-af85-d71505d0d94c" ] } ], "mendeley" : { "formattedCitation" : "&lt;sup&gt;54&lt;/sup&gt;", "plainTextFormattedCitation" : "54", "previouslyFormattedCitation" : "&lt;sup&gt;54&lt;/sup&gt;" }, "properties" : { "noteIndex" : 0 }, "schema" : "https://github.com/citation-style-language/schema/raw/master/csl-citation.json" }</w:instrText>
      </w:r>
      <w:r w:rsidR="00B43940" w:rsidRPr="00541955">
        <w:rPr>
          <w:rFonts w:cs="Arial"/>
          <w:shd w:val="clear" w:color="auto" w:fill="FFFFFF"/>
        </w:rPr>
        <w:fldChar w:fldCharType="separate"/>
      </w:r>
      <w:r w:rsidR="0044428A" w:rsidRPr="00541955">
        <w:rPr>
          <w:rFonts w:cs="Arial"/>
          <w:noProof/>
          <w:shd w:val="clear" w:color="auto" w:fill="FFFFFF"/>
          <w:vertAlign w:val="superscript"/>
        </w:rPr>
        <w:t>54</w:t>
      </w:r>
      <w:r w:rsidR="00B43940" w:rsidRPr="00541955">
        <w:rPr>
          <w:rFonts w:cs="Arial"/>
          <w:shd w:val="clear" w:color="auto" w:fill="FFFFFF"/>
        </w:rPr>
        <w:fldChar w:fldCharType="end"/>
      </w:r>
      <w:r w:rsidR="00735CE0" w:rsidRPr="00B40EB2">
        <w:rPr>
          <w:rFonts w:cs="Arial"/>
          <w:shd w:val="clear" w:color="auto" w:fill="FFFFFF"/>
        </w:rPr>
        <w:t xml:space="preserve"> Thus, an antibody in Y-shape configuration is less constrained by the substrate</w:t>
      </w:r>
      <w:r w:rsidR="005E1160" w:rsidRPr="0044428A">
        <w:rPr>
          <w:rFonts w:cs="Arial"/>
          <w:shd w:val="clear" w:color="auto" w:fill="FFFFFF"/>
        </w:rPr>
        <w:t>,</w:t>
      </w:r>
      <w:r w:rsidR="00735CE0" w:rsidRPr="00B40EB2">
        <w:rPr>
          <w:rFonts w:cs="Arial"/>
          <w:shd w:val="clear" w:color="auto" w:fill="FFFFFF"/>
        </w:rPr>
        <w:t xml:space="preserve"> </w:t>
      </w:r>
      <w:r w:rsidR="00DD1C36">
        <w:rPr>
          <w:rFonts w:cs="Arial"/>
          <w:shd w:val="clear" w:color="auto" w:fill="FFFFFF"/>
        </w:rPr>
        <w:t>w</w:t>
      </w:r>
      <w:r w:rsidR="00DB0D7C">
        <w:rPr>
          <w:rFonts w:cs="Arial"/>
          <w:shd w:val="clear" w:color="auto" w:fill="FFFFFF"/>
        </w:rPr>
        <w:t>hich explains</w:t>
      </w:r>
      <w:r w:rsidR="00735CE0" w:rsidRPr="00B40EB2">
        <w:rPr>
          <w:rFonts w:cs="Arial"/>
          <w:shd w:val="clear" w:color="auto" w:fill="FFFFFF"/>
        </w:rPr>
        <w:t xml:space="preserve"> the broader distribution of unbinding events </w:t>
      </w:r>
      <w:r w:rsidR="00B03164" w:rsidRPr="00541955">
        <w:rPr>
          <w:rFonts w:cs="Arial"/>
          <w:shd w:val="clear" w:color="auto" w:fill="FFFFFF"/>
        </w:rPr>
        <w:t>as a function of</w:t>
      </w:r>
      <w:r w:rsidR="00735CE0" w:rsidRPr="00B40EB2">
        <w:rPr>
          <w:rFonts w:cs="Arial"/>
          <w:shd w:val="clear" w:color="auto" w:fill="FFFFFF"/>
        </w:rPr>
        <w:t xml:space="preserve"> distance in the case of highly-oriented anti-IL4. For HSC6NH2 functionalization, our results suggest that the anti-IL4 is randomly oriented.</w:t>
      </w:r>
    </w:p>
    <w:p w:rsidR="008B38BC" w:rsidRDefault="00DB0D7C" w:rsidP="00DB0D7C">
      <w:pPr>
        <w:spacing w:line="480" w:lineRule="auto"/>
        <w:ind w:firstLine="720"/>
        <w:rPr>
          <w:rFonts w:cs="Arial"/>
          <w:color w:val="auto"/>
        </w:rPr>
      </w:pPr>
      <w:r w:rsidRPr="00DB0D7C">
        <w:rPr>
          <w:rFonts w:cs="Arial"/>
          <w:color w:val="auto"/>
        </w:rPr>
        <w:t>We then perform</w:t>
      </w:r>
      <w:r w:rsidR="0092453D">
        <w:rPr>
          <w:rFonts w:cs="Arial"/>
          <w:color w:val="auto"/>
        </w:rPr>
        <w:t>ed</w:t>
      </w:r>
      <w:r w:rsidRPr="00DB0D7C">
        <w:rPr>
          <w:rFonts w:cs="Arial"/>
          <w:color w:val="auto"/>
        </w:rPr>
        <w:t xml:space="preserve"> a statistical analysis of the large </w:t>
      </w:r>
      <w:r w:rsidR="00916FC9" w:rsidRPr="00DB0D7C">
        <w:rPr>
          <w:rFonts w:cs="Arial"/>
          <w:color w:val="auto"/>
        </w:rPr>
        <w:t>dataset of unbinding forces</w:t>
      </w:r>
      <w:r w:rsidR="00520515">
        <w:rPr>
          <w:rFonts w:cs="Arial"/>
          <w:color w:val="auto"/>
        </w:rPr>
        <w:t xml:space="preserve"> </w:t>
      </w:r>
      <w:r w:rsidR="00520515" w:rsidRPr="00520515">
        <w:rPr>
          <w:rFonts w:cs="Arial"/>
          <w:i/>
          <w:color w:val="auto"/>
        </w:rPr>
        <w:t>F</w:t>
      </w:r>
      <w:r w:rsidR="00520515" w:rsidRPr="00520515">
        <w:rPr>
          <w:rFonts w:cs="Arial"/>
          <w:i/>
          <w:color w:val="auto"/>
          <w:vertAlign w:val="subscript"/>
        </w:rPr>
        <w:t>ub</w:t>
      </w:r>
      <w:r w:rsidR="00DB35F4" w:rsidRPr="00520515">
        <w:rPr>
          <w:rFonts w:cs="Arial"/>
          <w:i/>
          <w:color w:val="auto"/>
        </w:rPr>
        <w:t>.</w:t>
      </w:r>
      <w:r w:rsidR="00DB35F4" w:rsidRPr="00736252">
        <w:rPr>
          <w:rFonts w:cs="Arial"/>
          <w:color w:val="auto"/>
        </w:rPr>
        <w:t xml:space="preserve"> </w:t>
      </w:r>
      <w:r w:rsidR="00DB35F4" w:rsidRPr="00DB0D7C">
        <w:rPr>
          <w:rFonts w:cs="Arial"/>
          <w:color w:val="auto"/>
        </w:rPr>
        <w:t>As shown in Fig.6e</w:t>
      </w:r>
      <w:r w:rsidR="00916FC9" w:rsidRPr="00DB0D7C">
        <w:rPr>
          <w:rFonts w:cs="Arial"/>
          <w:color w:val="auto"/>
        </w:rPr>
        <w:t xml:space="preserve">, both </w:t>
      </w:r>
      <w:r w:rsidR="00573D28" w:rsidRPr="00DB0D7C">
        <w:rPr>
          <w:rFonts w:cs="Arial"/>
          <w:color w:val="auto"/>
        </w:rPr>
        <w:t>anti-IL4/PG/Au and anti-IL4/HSC6NH2/Au,</w:t>
      </w:r>
      <w:r w:rsidR="00916FC9" w:rsidRPr="00DB0D7C">
        <w:rPr>
          <w:rFonts w:cs="Arial"/>
          <w:color w:val="auto"/>
        </w:rPr>
        <w:t xml:space="preserve"> </w:t>
      </w:r>
      <w:r w:rsidR="00D1317A">
        <w:rPr>
          <w:rFonts w:cs="Arial"/>
          <w:color w:val="auto"/>
        </w:rPr>
        <w:t>along with the cross</w:t>
      </w:r>
      <w:r w:rsidR="00604310" w:rsidRPr="00DB0D7C">
        <w:rPr>
          <w:rFonts w:cs="Arial"/>
          <w:color w:val="auto"/>
        </w:rPr>
        <w:t>check</w:t>
      </w:r>
      <w:r w:rsidRPr="00DB0D7C">
        <w:rPr>
          <w:rFonts w:cs="Arial"/>
          <w:color w:val="auto"/>
        </w:rPr>
        <w:t xml:space="preserve"> sample</w:t>
      </w:r>
      <w:r w:rsidR="00604310" w:rsidRPr="00DB0D7C">
        <w:rPr>
          <w:rFonts w:cs="Arial"/>
          <w:color w:val="auto"/>
        </w:rPr>
        <w:t xml:space="preserve"> (</w:t>
      </w:r>
      <w:r w:rsidR="00573D28" w:rsidRPr="00DB0D7C">
        <w:rPr>
          <w:rFonts w:cs="Arial"/>
          <w:color w:val="auto"/>
        </w:rPr>
        <w:t>namely</w:t>
      </w:r>
      <w:r w:rsidR="00F5099E">
        <w:rPr>
          <w:rFonts w:cs="Arial"/>
          <w:color w:val="auto"/>
        </w:rPr>
        <w:t>,</w:t>
      </w:r>
      <w:r w:rsidR="00573D28" w:rsidRPr="00DB0D7C">
        <w:rPr>
          <w:rFonts w:cs="Arial"/>
          <w:color w:val="auto"/>
        </w:rPr>
        <w:t xml:space="preserve"> tip functionalized </w:t>
      </w:r>
      <w:r w:rsidRPr="00DB0D7C">
        <w:rPr>
          <w:rFonts w:cs="Arial"/>
          <w:color w:val="auto"/>
        </w:rPr>
        <w:t>with</w:t>
      </w:r>
      <w:r w:rsidR="00573D28" w:rsidRPr="00DB0D7C">
        <w:rPr>
          <w:rFonts w:cs="Arial"/>
          <w:color w:val="auto"/>
        </w:rPr>
        <w:t xml:space="preserve"> IL</w:t>
      </w:r>
      <w:r w:rsidR="00604310" w:rsidRPr="00DB0D7C">
        <w:rPr>
          <w:rFonts w:cs="Arial"/>
          <w:color w:val="auto"/>
        </w:rPr>
        <w:t xml:space="preserve">6 and Au </w:t>
      </w:r>
      <w:r w:rsidRPr="00DB0D7C">
        <w:rPr>
          <w:rFonts w:cs="Arial"/>
          <w:color w:val="auto"/>
        </w:rPr>
        <w:t xml:space="preserve">electrode </w:t>
      </w:r>
      <w:r w:rsidR="00573D28" w:rsidRPr="00DB0D7C">
        <w:rPr>
          <w:rFonts w:cs="Arial"/>
          <w:color w:val="auto"/>
        </w:rPr>
        <w:t>coated</w:t>
      </w:r>
      <w:r w:rsidR="00604310" w:rsidRPr="00DB0D7C">
        <w:rPr>
          <w:rFonts w:cs="Arial"/>
          <w:color w:val="auto"/>
        </w:rPr>
        <w:t xml:space="preserve"> </w:t>
      </w:r>
      <w:r w:rsidRPr="00DB0D7C">
        <w:rPr>
          <w:rFonts w:cs="Arial"/>
          <w:color w:val="auto"/>
        </w:rPr>
        <w:t>with</w:t>
      </w:r>
      <w:r w:rsidR="00604310" w:rsidRPr="00DB0D7C">
        <w:rPr>
          <w:rFonts w:cs="Arial"/>
          <w:color w:val="auto"/>
        </w:rPr>
        <w:t xml:space="preserve"> anti-IL4)</w:t>
      </w:r>
      <w:r w:rsidR="00916FC9" w:rsidRPr="00DB0D7C">
        <w:rPr>
          <w:rFonts w:cs="Arial"/>
          <w:color w:val="auto"/>
        </w:rPr>
        <w:t xml:space="preserve"> yield </w:t>
      </w:r>
      <w:r w:rsidR="00130060">
        <w:rPr>
          <w:rFonts w:cs="Arial"/>
          <w:color w:val="auto"/>
        </w:rPr>
        <w:t xml:space="preserve">apparently </w:t>
      </w:r>
      <w:r w:rsidR="00916FC9" w:rsidRPr="00DB0D7C">
        <w:rPr>
          <w:rFonts w:cs="Arial"/>
          <w:color w:val="auto"/>
        </w:rPr>
        <w:t xml:space="preserve">skewed </w:t>
      </w:r>
      <w:r w:rsidR="00130060">
        <w:rPr>
          <w:rFonts w:cs="Arial"/>
          <w:color w:val="auto"/>
        </w:rPr>
        <w:t>h</w:t>
      </w:r>
      <w:r w:rsidR="00520515">
        <w:rPr>
          <w:rFonts w:cs="Arial"/>
          <w:color w:val="auto"/>
        </w:rPr>
        <w:t>i</w:t>
      </w:r>
      <w:r w:rsidR="00130060">
        <w:rPr>
          <w:rFonts w:cs="Arial"/>
          <w:color w:val="auto"/>
        </w:rPr>
        <w:t>stograms</w:t>
      </w:r>
      <w:r w:rsidRPr="00DB0D7C">
        <w:rPr>
          <w:rFonts w:cs="Arial"/>
          <w:color w:val="auto"/>
        </w:rPr>
        <w:t xml:space="preserve"> of </w:t>
      </w:r>
      <w:r w:rsidR="00F5099E" w:rsidRPr="00520515">
        <w:rPr>
          <w:rFonts w:cs="Arial"/>
          <w:i/>
          <w:color w:val="auto"/>
        </w:rPr>
        <w:t>F</w:t>
      </w:r>
      <w:r w:rsidR="00F5099E" w:rsidRPr="00520515">
        <w:rPr>
          <w:rFonts w:cs="Arial"/>
          <w:i/>
          <w:color w:val="auto"/>
          <w:vertAlign w:val="subscript"/>
        </w:rPr>
        <w:t>ub</w:t>
      </w:r>
      <w:r w:rsidRPr="00DB0D7C">
        <w:rPr>
          <w:rFonts w:cs="Arial"/>
          <w:color w:val="auto"/>
        </w:rPr>
        <w:t>.</w:t>
      </w:r>
      <w:r w:rsidR="00916FC9" w:rsidRPr="00DB0D7C">
        <w:rPr>
          <w:rFonts w:cs="Arial"/>
          <w:color w:val="auto"/>
        </w:rPr>
        <w:t xml:space="preserve"> </w:t>
      </w:r>
      <w:r w:rsidR="004166AF" w:rsidRPr="004166AF">
        <w:rPr>
          <w:rFonts w:cs="Arial"/>
          <w:color w:val="auto"/>
        </w:rPr>
        <w:t xml:space="preserve">This is not surprising because </w:t>
      </w:r>
      <w:r w:rsidR="004166AF">
        <w:rPr>
          <w:rFonts w:cs="Arial"/>
          <w:color w:val="auto"/>
        </w:rPr>
        <w:t>the data sets</w:t>
      </w:r>
      <w:r w:rsidR="004166AF" w:rsidRPr="004166AF">
        <w:rPr>
          <w:rFonts w:cs="Arial"/>
          <w:color w:val="auto"/>
        </w:rPr>
        <w:t xml:space="preserve"> </w:t>
      </w:r>
      <w:r w:rsidR="004166AF">
        <w:rPr>
          <w:rFonts w:cs="Arial"/>
          <w:color w:val="auto"/>
        </w:rPr>
        <w:t>have been</w:t>
      </w:r>
      <w:r w:rsidR="004166AF" w:rsidRPr="004166AF">
        <w:rPr>
          <w:rFonts w:cs="Arial"/>
          <w:color w:val="auto"/>
        </w:rPr>
        <w:t xml:space="preserve"> filtered </w:t>
      </w:r>
      <w:r w:rsidR="004166AF">
        <w:rPr>
          <w:rFonts w:cs="Arial"/>
          <w:color w:val="auto"/>
        </w:rPr>
        <w:t>out</w:t>
      </w:r>
      <w:r w:rsidR="004166AF" w:rsidRPr="004166AF">
        <w:rPr>
          <w:rFonts w:cs="Arial"/>
          <w:color w:val="auto"/>
        </w:rPr>
        <w:t xml:space="preserve"> </w:t>
      </w:r>
      <w:r w:rsidR="004166AF">
        <w:rPr>
          <w:rFonts w:cs="Arial"/>
          <w:color w:val="auto"/>
        </w:rPr>
        <w:t xml:space="preserve">the </w:t>
      </w:r>
      <w:r w:rsidR="004166AF" w:rsidRPr="004166AF">
        <w:rPr>
          <w:rFonts w:cs="Arial"/>
          <w:color w:val="auto"/>
        </w:rPr>
        <w:t xml:space="preserve">aspecific events occurring at </w:t>
      </w:r>
      <w:r w:rsidR="004166AF" w:rsidRPr="00520515">
        <w:rPr>
          <w:rFonts w:cs="Arial"/>
          <w:i/>
          <w:color w:val="auto"/>
        </w:rPr>
        <w:t>F</w:t>
      </w:r>
      <w:r w:rsidR="004166AF" w:rsidRPr="00520515">
        <w:rPr>
          <w:rFonts w:cs="Arial"/>
          <w:i/>
          <w:color w:val="auto"/>
          <w:vertAlign w:val="subscript"/>
        </w:rPr>
        <w:t>ub</w:t>
      </w:r>
      <w:r w:rsidR="004166AF" w:rsidRPr="004166AF">
        <w:rPr>
          <w:rFonts w:cs="Arial"/>
          <w:color w:val="auto"/>
        </w:rPr>
        <w:t xml:space="preserve"> </w:t>
      </w:r>
      <w:r w:rsidR="004166AF">
        <w:rPr>
          <w:rFonts w:cs="Arial"/>
          <w:color w:val="auto"/>
        </w:rPr>
        <w:t>≤</w:t>
      </w:r>
      <w:r w:rsidR="004166AF" w:rsidRPr="004166AF">
        <w:rPr>
          <w:rFonts w:cs="Arial"/>
          <w:color w:val="auto"/>
        </w:rPr>
        <w:t xml:space="preserve">20pN. </w:t>
      </w:r>
      <w:r w:rsidR="00130060">
        <w:rPr>
          <w:rFonts w:cs="Arial"/>
          <w:color w:val="auto"/>
        </w:rPr>
        <w:t xml:space="preserve">The size of the bin of each histogram is calculated depending on the number of curves </w:t>
      </w:r>
      <w:r w:rsidR="00130060" w:rsidRPr="00130060">
        <w:rPr>
          <w:rFonts w:cs="Arial"/>
          <w:i/>
          <w:color w:val="auto"/>
        </w:rPr>
        <w:t>N</w:t>
      </w:r>
      <w:r w:rsidR="00130060">
        <w:rPr>
          <w:rFonts w:cs="Arial"/>
          <w:i/>
          <w:color w:val="auto"/>
          <w:vertAlign w:val="subscript"/>
        </w:rPr>
        <w:t>SB</w:t>
      </w:r>
      <w:r w:rsidR="00130060">
        <w:rPr>
          <w:rFonts w:cs="Arial"/>
          <w:color w:val="auto"/>
        </w:rPr>
        <w:t xml:space="preserve"> in the data set giving rise to (high-force) specific </w:t>
      </w:r>
      <w:r w:rsidR="00736252">
        <w:rPr>
          <w:rFonts w:cs="Arial"/>
          <w:color w:val="auto"/>
        </w:rPr>
        <w:t>(un-)</w:t>
      </w:r>
      <w:r w:rsidR="00130060">
        <w:rPr>
          <w:rFonts w:cs="Arial"/>
          <w:color w:val="auto"/>
        </w:rPr>
        <w:t>binding</w:t>
      </w:r>
      <w:r w:rsidR="00F5099E">
        <w:rPr>
          <w:rFonts w:cs="Arial"/>
          <w:color w:val="auto"/>
        </w:rPr>
        <w:t xml:space="preserve"> (</w:t>
      </w:r>
      <w:r w:rsidR="00F5099E" w:rsidRPr="00F5099E">
        <w:rPr>
          <w:rFonts w:cs="Arial"/>
          <w:i/>
          <w:color w:val="auto"/>
        </w:rPr>
        <w:t>SB</w:t>
      </w:r>
      <w:r w:rsidR="00F5099E">
        <w:rPr>
          <w:rFonts w:cs="Arial"/>
          <w:color w:val="auto"/>
        </w:rPr>
        <w:t>)</w:t>
      </w:r>
      <w:r w:rsidR="0092453D">
        <w:rPr>
          <w:rFonts w:cs="Arial"/>
          <w:color w:val="auto"/>
        </w:rPr>
        <w:t>. This</w:t>
      </w:r>
      <w:r w:rsidR="00F5099E">
        <w:rPr>
          <w:rFonts w:cs="Arial"/>
          <w:color w:val="auto"/>
        </w:rPr>
        <w:t xml:space="preserve"> number</w:t>
      </w:r>
      <w:r w:rsidR="00130060">
        <w:rPr>
          <w:rFonts w:cs="Arial"/>
          <w:color w:val="auto"/>
        </w:rPr>
        <w:t xml:space="preserve"> changes from sample to sample</w:t>
      </w:r>
      <w:r w:rsidR="0092453D">
        <w:rPr>
          <w:rFonts w:cs="Arial"/>
          <w:color w:val="auto"/>
        </w:rPr>
        <w:t xml:space="preserve"> and therefore t</w:t>
      </w:r>
      <w:r w:rsidR="00BA30C5">
        <w:rPr>
          <w:rFonts w:cs="Arial"/>
          <w:color w:val="auto"/>
        </w:rPr>
        <w:t>he size</w:t>
      </w:r>
      <w:r w:rsidR="00F5099E">
        <w:rPr>
          <w:rFonts w:cs="Arial"/>
          <w:color w:val="auto"/>
        </w:rPr>
        <w:t>s</w:t>
      </w:r>
      <w:r w:rsidR="00BA30C5">
        <w:rPr>
          <w:rFonts w:cs="Arial"/>
          <w:color w:val="auto"/>
        </w:rPr>
        <w:t xml:space="preserve"> of histograms in Fig. 6 </w:t>
      </w:r>
      <w:r w:rsidR="00F5099E">
        <w:rPr>
          <w:rFonts w:cs="Arial"/>
          <w:color w:val="auto"/>
        </w:rPr>
        <w:t xml:space="preserve">are </w:t>
      </w:r>
      <w:r w:rsidR="0092453D">
        <w:rPr>
          <w:rFonts w:cs="Arial"/>
          <w:color w:val="auto"/>
        </w:rPr>
        <w:t xml:space="preserve">different. </w:t>
      </w:r>
      <w:r w:rsidR="001B68C5">
        <w:rPr>
          <w:rFonts w:cs="Arial"/>
          <w:color w:val="auto"/>
        </w:rPr>
        <w:t xml:space="preserve">Specifically, the number of bins in each histogram is </w:t>
      </w:r>
      <w:r w:rsidR="00DF698F">
        <w:rPr>
          <w:rFonts w:cs="Arial"/>
          <w:color w:val="auto"/>
        </w:rPr>
        <w:t>chosen</w:t>
      </w:r>
      <w:r w:rsidR="001B68C5">
        <w:rPr>
          <w:rFonts w:cs="Arial"/>
          <w:color w:val="auto"/>
        </w:rPr>
        <w:t xml:space="preserve"> as </w:t>
      </w:r>
      <w:r w:rsidR="001B68C5" w:rsidRPr="001B68C5">
        <w:rPr>
          <w:rFonts w:cs="Arial"/>
          <w:i/>
          <w:color w:val="auto"/>
        </w:rPr>
        <w:t>N</w:t>
      </w:r>
      <w:r w:rsidR="001B68C5" w:rsidRPr="001B68C5">
        <w:rPr>
          <w:rFonts w:cs="Arial"/>
          <w:i/>
          <w:color w:val="auto"/>
          <w:vertAlign w:val="subscript"/>
        </w:rPr>
        <w:t>bin</w:t>
      </w:r>
      <w:r w:rsidR="001B68C5">
        <w:rPr>
          <w:rFonts w:cs="Arial"/>
          <w:color w:val="auto"/>
        </w:rPr>
        <w:t>=NINT(3.49·</w:t>
      </w:r>
      <w:r w:rsidR="001B68C5" w:rsidRPr="001B68C5">
        <w:rPr>
          <w:rFonts w:ascii="Symbol" w:hAnsi="Symbol" w:cs="Arial"/>
          <w:color w:val="auto"/>
        </w:rPr>
        <w:t></w:t>
      </w:r>
      <w:r w:rsidR="001B68C5">
        <w:rPr>
          <w:rFonts w:cs="Arial"/>
          <w:color w:val="auto"/>
        </w:rPr>
        <w:t>/</w:t>
      </w:r>
      <w:r w:rsidR="001B68C5" w:rsidRPr="00130060">
        <w:rPr>
          <w:rFonts w:cs="Arial"/>
          <w:i/>
          <w:color w:val="auto"/>
        </w:rPr>
        <w:t>N</w:t>
      </w:r>
      <w:r w:rsidR="001B68C5">
        <w:rPr>
          <w:rFonts w:cs="Arial"/>
          <w:i/>
          <w:color w:val="auto"/>
          <w:vertAlign w:val="subscript"/>
        </w:rPr>
        <w:t>SB</w:t>
      </w:r>
      <w:r w:rsidR="001B68C5">
        <w:rPr>
          <w:rFonts w:cs="Arial"/>
          <w:color w:val="auto"/>
          <w:vertAlign w:val="superscript"/>
        </w:rPr>
        <w:t>1/</w:t>
      </w:r>
      <w:r w:rsidR="001B68C5" w:rsidRPr="001B68C5">
        <w:rPr>
          <w:rFonts w:cs="Arial"/>
          <w:color w:val="auto"/>
          <w:vertAlign w:val="superscript"/>
        </w:rPr>
        <w:t>3</w:t>
      </w:r>
      <w:r w:rsidR="001B68C5">
        <w:rPr>
          <w:rFonts w:cs="Arial"/>
          <w:color w:val="auto"/>
        </w:rPr>
        <w:t>), with NINT being the nearest integer round</w:t>
      </w:r>
      <w:r w:rsidR="00BA30C5">
        <w:rPr>
          <w:rFonts w:cs="Arial"/>
          <w:color w:val="auto"/>
        </w:rPr>
        <w:t>-</w:t>
      </w:r>
      <w:r w:rsidR="001B68C5">
        <w:rPr>
          <w:rFonts w:cs="Arial"/>
          <w:color w:val="auto"/>
        </w:rPr>
        <w:t xml:space="preserve">off, and </w:t>
      </w:r>
      <w:r w:rsidR="001B68C5" w:rsidRPr="00B03164">
        <w:rPr>
          <w:rFonts w:ascii="Symbol" w:hAnsi="Symbol" w:cs="Arial"/>
          <w:i/>
          <w:color w:val="auto"/>
        </w:rPr>
        <w:t></w:t>
      </w:r>
      <w:r w:rsidR="001B68C5">
        <w:rPr>
          <w:rFonts w:cs="Arial"/>
          <w:color w:val="auto"/>
        </w:rPr>
        <w:t xml:space="preserve"> the </w:t>
      </w:r>
      <w:r w:rsidR="001B68C5" w:rsidRPr="00DB0D7C">
        <w:rPr>
          <w:rFonts w:cs="Arial"/>
          <w:color w:val="auto"/>
        </w:rPr>
        <w:t>standard deviation</w:t>
      </w:r>
      <w:r w:rsidR="001B68C5">
        <w:rPr>
          <w:rFonts w:cs="Arial"/>
          <w:color w:val="auto"/>
        </w:rPr>
        <w:t xml:space="preserve"> of the data set. The bin siz</w:t>
      </w:r>
      <w:r w:rsidR="00F5099E">
        <w:rPr>
          <w:rFonts w:cs="Arial"/>
          <w:color w:val="auto"/>
        </w:rPr>
        <w:t>e of each histogram is given by</w:t>
      </w:r>
      <w:r w:rsidR="00130060">
        <w:rPr>
          <w:rFonts w:cs="Arial"/>
          <w:color w:val="auto"/>
        </w:rPr>
        <w:t xml:space="preserve"> </w:t>
      </w:r>
      <w:r w:rsidR="001B68C5" w:rsidRPr="001B68C5">
        <w:rPr>
          <w:rFonts w:ascii="Symbol" w:hAnsi="Symbol" w:cs="Arial"/>
          <w:i/>
          <w:color w:val="auto"/>
        </w:rPr>
        <w:t></w:t>
      </w:r>
      <w:r w:rsidR="001B68C5" w:rsidRPr="001B68C5">
        <w:rPr>
          <w:rFonts w:cs="Arial"/>
          <w:i/>
          <w:color w:val="auto"/>
        </w:rPr>
        <w:t>F</w:t>
      </w:r>
      <w:r w:rsidR="001B68C5">
        <w:rPr>
          <w:rFonts w:cs="Arial"/>
          <w:color w:val="auto"/>
        </w:rPr>
        <w:t>=(</w:t>
      </w:r>
      <w:r w:rsidR="001B68C5" w:rsidRPr="001B68C5">
        <w:rPr>
          <w:rFonts w:cs="Arial"/>
          <w:i/>
          <w:color w:val="auto"/>
        </w:rPr>
        <w:t>F</w:t>
      </w:r>
      <w:r w:rsidR="001B68C5" w:rsidRPr="001B68C5">
        <w:rPr>
          <w:rFonts w:cs="Arial"/>
          <w:i/>
          <w:color w:val="auto"/>
          <w:vertAlign w:val="subscript"/>
        </w:rPr>
        <w:t>max</w:t>
      </w:r>
      <w:r w:rsidR="001B68C5" w:rsidRPr="001B68C5">
        <w:rPr>
          <w:rFonts w:cs="Arial"/>
          <w:i/>
          <w:color w:val="auto"/>
        </w:rPr>
        <w:t>-F</w:t>
      </w:r>
      <w:r w:rsidR="001B68C5" w:rsidRPr="001B68C5">
        <w:rPr>
          <w:rFonts w:cs="Arial"/>
          <w:i/>
          <w:color w:val="auto"/>
          <w:vertAlign w:val="subscript"/>
        </w:rPr>
        <w:t>min</w:t>
      </w:r>
      <w:r w:rsidR="001B68C5">
        <w:rPr>
          <w:rFonts w:cs="Arial"/>
          <w:color w:val="auto"/>
        </w:rPr>
        <w:t>)/</w:t>
      </w:r>
      <w:r w:rsidR="001B68C5" w:rsidRPr="001B68C5">
        <w:rPr>
          <w:rFonts w:cs="Arial"/>
          <w:i/>
          <w:color w:val="auto"/>
        </w:rPr>
        <w:t>N</w:t>
      </w:r>
      <w:r w:rsidR="001B68C5" w:rsidRPr="001B68C5">
        <w:rPr>
          <w:rFonts w:cs="Arial"/>
          <w:i/>
          <w:color w:val="auto"/>
          <w:vertAlign w:val="subscript"/>
        </w:rPr>
        <w:t>bin</w:t>
      </w:r>
      <w:r w:rsidR="0092453D">
        <w:rPr>
          <w:rFonts w:cs="Arial"/>
          <w:color w:val="auto"/>
        </w:rPr>
        <w:t xml:space="preserve">, where </w:t>
      </w:r>
      <w:r w:rsidR="0092453D" w:rsidRPr="001B68C5">
        <w:rPr>
          <w:rFonts w:cs="Arial"/>
          <w:i/>
          <w:color w:val="auto"/>
        </w:rPr>
        <w:t>F</w:t>
      </w:r>
      <w:r w:rsidR="0092453D" w:rsidRPr="001B68C5">
        <w:rPr>
          <w:rFonts w:cs="Arial"/>
          <w:i/>
          <w:color w:val="auto"/>
          <w:vertAlign w:val="subscript"/>
        </w:rPr>
        <w:t>max</w:t>
      </w:r>
      <w:r w:rsidR="0092453D">
        <w:rPr>
          <w:rFonts w:cs="Arial"/>
          <w:i/>
          <w:color w:val="auto"/>
        </w:rPr>
        <w:t xml:space="preserve">, </w:t>
      </w:r>
      <w:r w:rsidR="0092453D" w:rsidRPr="001B68C5">
        <w:rPr>
          <w:rFonts w:cs="Arial"/>
          <w:i/>
          <w:color w:val="auto"/>
        </w:rPr>
        <w:t>F</w:t>
      </w:r>
      <w:r w:rsidR="0092453D" w:rsidRPr="001B68C5">
        <w:rPr>
          <w:rFonts w:cs="Arial"/>
          <w:i/>
          <w:color w:val="auto"/>
          <w:vertAlign w:val="subscript"/>
        </w:rPr>
        <w:t>min</w:t>
      </w:r>
      <w:r w:rsidR="0092453D">
        <w:rPr>
          <w:rFonts w:cs="Arial"/>
          <w:color w:val="auto"/>
        </w:rPr>
        <w:t xml:space="preserve"> are the boundary values of the</w:t>
      </w:r>
      <w:r w:rsidR="001B68C5">
        <w:rPr>
          <w:rFonts w:cs="Arial"/>
          <w:color w:val="auto"/>
        </w:rPr>
        <w:t xml:space="preserve"> </w:t>
      </w:r>
      <w:r w:rsidR="0092453D">
        <w:rPr>
          <w:rFonts w:cs="Arial"/>
          <w:color w:val="auto"/>
        </w:rPr>
        <w:t xml:space="preserve">force range </w:t>
      </w:r>
      <w:r w:rsidR="00BA30C5">
        <w:rPr>
          <w:rFonts w:cs="Arial"/>
          <w:color w:val="auto"/>
        </w:rPr>
        <w:t xml:space="preserve">measured experimentally. </w:t>
      </w:r>
      <w:r w:rsidR="00D1317A">
        <w:rPr>
          <w:rFonts w:cs="Arial"/>
          <w:color w:val="auto"/>
        </w:rPr>
        <w:t xml:space="preserve">The value of the histogram is normalized to the Specific Unbinding Probability Density </w:t>
      </w:r>
      <w:r w:rsidR="00736252">
        <w:rPr>
          <w:rFonts w:cs="Arial"/>
          <w:color w:val="auto"/>
        </w:rPr>
        <w:t>(</w:t>
      </w:r>
      <w:r w:rsidR="00D1317A">
        <w:rPr>
          <w:rFonts w:cs="Arial"/>
          <w:color w:val="auto"/>
        </w:rPr>
        <w:t>SUPD</w:t>
      </w:r>
      <w:r w:rsidR="00736252">
        <w:rPr>
          <w:rFonts w:cs="Arial"/>
          <w:color w:val="auto"/>
        </w:rPr>
        <w:t>)</w:t>
      </w:r>
      <w:r w:rsidR="008B38BC">
        <w:rPr>
          <w:rFonts w:cs="Arial"/>
          <w:color w:val="auto"/>
        </w:rPr>
        <w:t>:</w:t>
      </w:r>
    </w:p>
    <w:p w:rsidR="008B38BC" w:rsidRDefault="008B38BC" w:rsidP="002A40E9">
      <w:pPr>
        <w:spacing w:line="480" w:lineRule="auto"/>
        <w:ind w:firstLine="720"/>
        <w:jc w:val="center"/>
        <w:rPr>
          <w:rFonts w:cs="Arial"/>
          <w:color w:val="auto"/>
        </w:rPr>
      </w:pPr>
      <w:r>
        <w:t xml:space="preserve">(1) </w:t>
      </w:r>
      <w:r w:rsidR="00736252" w:rsidRPr="008B38BC">
        <w:rPr>
          <w:position w:val="-32"/>
        </w:rPr>
        <w:object w:dxaOrig="32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15pt;height:37.4pt" o:ole="">
            <v:imagedata r:id="rId8" o:title=""/>
          </v:shape>
          <o:OLEObject Type="Embed" ProgID="Equation.3" ShapeID="_x0000_i1025" DrawAspect="Content" ObjectID="_1494322563" r:id="rId9"/>
        </w:object>
      </w:r>
    </w:p>
    <w:p w:rsidR="002A40E9" w:rsidRDefault="008B38BC" w:rsidP="00F728C2">
      <w:pPr>
        <w:spacing w:line="480" w:lineRule="auto"/>
        <w:rPr>
          <w:rFonts w:cs="Arial"/>
          <w:color w:val="auto"/>
        </w:rPr>
      </w:pPr>
      <w:r>
        <w:rPr>
          <w:rFonts w:cs="Arial"/>
          <w:color w:val="auto"/>
        </w:rPr>
        <w:t xml:space="preserve">where </w:t>
      </w:r>
      <w:r w:rsidR="00D735BE">
        <w:rPr>
          <w:rFonts w:cs="Arial"/>
          <w:i/>
          <w:color w:val="auto"/>
        </w:rPr>
        <w:t>N</w:t>
      </w:r>
      <w:r w:rsidR="00D735BE" w:rsidRPr="00D735BE">
        <w:rPr>
          <w:rFonts w:cs="Arial"/>
          <w:i/>
          <w:color w:val="auto"/>
          <w:vertAlign w:val="subscript"/>
        </w:rPr>
        <w:t>k</w:t>
      </w:r>
      <w:r>
        <w:rPr>
          <w:rFonts w:cs="Arial"/>
          <w:color w:val="auto"/>
        </w:rPr>
        <w:t xml:space="preserve"> is the number of curves </w:t>
      </w:r>
      <w:r w:rsidR="00D735BE">
        <w:rPr>
          <w:rFonts w:cs="Arial"/>
          <w:color w:val="auto"/>
        </w:rPr>
        <w:t xml:space="preserve">in the </w:t>
      </w:r>
      <w:r w:rsidR="00D735BE" w:rsidRPr="00D735BE">
        <w:rPr>
          <w:rFonts w:cs="Arial"/>
          <w:i/>
          <w:color w:val="auto"/>
        </w:rPr>
        <w:t>k-th</w:t>
      </w:r>
      <w:r w:rsidR="00D735BE">
        <w:rPr>
          <w:rFonts w:cs="Arial"/>
          <w:color w:val="auto"/>
        </w:rPr>
        <w:t xml:space="preserve"> bin </w:t>
      </w:r>
      <w:r>
        <w:rPr>
          <w:rFonts w:cs="Arial"/>
          <w:color w:val="auto"/>
        </w:rPr>
        <w:t xml:space="preserve">whose unbinding force </w:t>
      </w:r>
      <w:r w:rsidR="00D735BE" w:rsidRPr="00520515">
        <w:rPr>
          <w:rFonts w:cs="Arial"/>
          <w:i/>
          <w:color w:val="auto"/>
        </w:rPr>
        <w:t>F</w:t>
      </w:r>
      <w:r w:rsidR="00D735BE" w:rsidRPr="00520515">
        <w:rPr>
          <w:rFonts w:cs="Arial"/>
          <w:i/>
          <w:color w:val="auto"/>
          <w:vertAlign w:val="subscript"/>
        </w:rPr>
        <w:t>ub</w:t>
      </w:r>
      <w:r w:rsidR="00D735BE">
        <w:rPr>
          <w:rFonts w:cs="Arial"/>
          <w:color w:val="auto"/>
        </w:rPr>
        <w:t xml:space="preserve"> </w:t>
      </w:r>
      <w:r>
        <w:rPr>
          <w:rFonts w:cs="Arial"/>
          <w:color w:val="auto"/>
        </w:rPr>
        <w:t xml:space="preserve">falls within </w:t>
      </w:r>
      <w:r w:rsidR="00D735BE" w:rsidRPr="00D735BE">
        <w:rPr>
          <w:rFonts w:cs="Arial"/>
          <w:i/>
          <w:color w:val="auto"/>
        </w:rPr>
        <w:t>F</w:t>
      </w:r>
      <w:r w:rsidR="00D735BE" w:rsidRPr="00D735BE">
        <w:rPr>
          <w:rFonts w:cs="Arial"/>
          <w:i/>
          <w:color w:val="auto"/>
          <w:vertAlign w:val="subscript"/>
        </w:rPr>
        <w:t>k</w:t>
      </w:r>
      <w:r w:rsidR="00D735BE">
        <w:rPr>
          <w:rFonts w:cs="Arial"/>
          <w:color w:val="auto"/>
        </w:rPr>
        <w:t>±</w:t>
      </w:r>
      <w:r w:rsidR="00D735BE" w:rsidRPr="001B68C5">
        <w:rPr>
          <w:rFonts w:ascii="Symbol" w:hAnsi="Symbol" w:cs="Arial"/>
          <w:i/>
          <w:color w:val="auto"/>
        </w:rPr>
        <w:t></w:t>
      </w:r>
      <w:r w:rsidR="00D735BE" w:rsidRPr="001B68C5">
        <w:rPr>
          <w:rFonts w:cs="Arial"/>
          <w:i/>
          <w:color w:val="auto"/>
        </w:rPr>
        <w:t>F</w:t>
      </w:r>
      <w:r w:rsidR="00D735BE">
        <w:rPr>
          <w:rFonts w:cs="Arial"/>
          <w:i/>
          <w:color w:val="auto"/>
        </w:rPr>
        <w:t>/2</w:t>
      </w:r>
      <w:r w:rsidR="00D735BE">
        <w:rPr>
          <w:rFonts w:cs="Arial"/>
          <w:color w:val="auto"/>
        </w:rPr>
        <w:t xml:space="preserve">. Its </w:t>
      </w:r>
      <w:r w:rsidR="00D1317A">
        <w:rPr>
          <w:rFonts w:cs="Arial"/>
          <w:color w:val="auto"/>
        </w:rPr>
        <w:t xml:space="preserve">integral </w:t>
      </w:r>
      <w:r w:rsidR="00D735BE" w:rsidRPr="00B03164">
        <w:rPr>
          <w:rFonts w:cs="Arial"/>
          <w:i/>
          <w:color w:val="auto"/>
        </w:rPr>
        <w:t>vs</w:t>
      </w:r>
      <w:r w:rsidR="00D735BE">
        <w:rPr>
          <w:rFonts w:cs="Arial"/>
          <w:color w:val="auto"/>
        </w:rPr>
        <w:t xml:space="preserve"> </w:t>
      </w:r>
      <w:r w:rsidR="00D1317A" w:rsidRPr="00520515">
        <w:rPr>
          <w:rFonts w:cs="Arial"/>
          <w:i/>
          <w:color w:val="auto"/>
        </w:rPr>
        <w:t>F</w:t>
      </w:r>
      <w:r w:rsidR="00D1317A" w:rsidRPr="00520515">
        <w:rPr>
          <w:rFonts w:cs="Arial"/>
          <w:i/>
          <w:color w:val="auto"/>
          <w:vertAlign w:val="subscript"/>
        </w:rPr>
        <w:t>ub</w:t>
      </w:r>
      <w:r w:rsidR="00D1317A">
        <w:rPr>
          <w:rFonts w:cs="Arial"/>
          <w:color w:val="auto"/>
        </w:rPr>
        <w:t xml:space="preserve"> </w:t>
      </w:r>
      <w:r w:rsidR="00A5792B">
        <w:rPr>
          <w:rFonts w:cs="Arial"/>
          <w:color w:val="auto"/>
        </w:rPr>
        <w:t xml:space="preserve">across the data set </w:t>
      </w:r>
      <w:r w:rsidR="000331D1">
        <w:rPr>
          <w:rFonts w:cs="Arial"/>
          <w:color w:val="auto"/>
        </w:rPr>
        <w:t>is estimated</w:t>
      </w:r>
      <w:r w:rsidR="00A5792B">
        <w:rPr>
          <w:rFonts w:cs="Arial"/>
          <w:color w:val="auto"/>
        </w:rPr>
        <w:t xml:space="preserve"> as the summation on the histogram bins</w:t>
      </w:r>
      <w:r w:rsidR="002A40E9">
        <w:rPr>
          <w:rFonts w:cs="Arial"/>
          <w:color w:val="auto"/>
        </w:rPr>
        <w:t xml:space="preserve"> </w:t>
      </w:r>
      <w:r w:rsidR="00134B83">
        <w:rPr>
          <w:rFonts w:cs="Arial"/>
          <w:color w:val="auto"/>
        </w:rPr>
        <w:t xml:space="preserve">multiplied by </w:t>
      </w:r>
      <w:r w:rsidR="00134B83" w:rsidRPr="001B68C5">
        <w:rPr>
          <w:rFonts w:ascii="Symbol" w:hAnsi="Symbol" w:cs="Arial"/>
          <w:i/>
          <w:color w:val="auto"/>
        </w:rPr>
        <w:t></w:t>
      </w:r>
      <w:r w:rsidR="00134B83" w:rsidRPr="001B68C5">
        <w:rPr>
          <w:rFonts w:cs="Arial"/>
          <w:i/>
          <w:color w:val="auto"/>
        </w:rPr>
        <w:t>F</w:t>
      </w:r>
      <w:r w:rsidR="000331D1">
        <w:rPr>
          <w:rFonts w:cs="Arial"/>
          <w:color w:val="auto"/>
        </w:rPr>
        <w:t>. The</w:t>
      </w:r>
      <w:r w:rsidR="00134B83">
        <w:rPr>
          <w:rFonts w:cs="Arial"/>
          <w:color w:val="auto"/>
        </w:rPr>
        <w:t xml:space="preserve"> summation index run</w:t>
      </w:r>
      <w:r w:rsidR="000331D1">
        <w:rPr>
          <w:rFonts w:cs="Arial"/>
          <w:color w:val="auto"/>
        </w:rPr>
        <w:t>s</w:t>
      </w:r>
      <w:r w:rsidR="00134B83">
        <w:rPr>
          <w:rFonts w:cs="Arial"/>
          <w:color w:val="auto"/>
        </w:rPr>
        <w:t xml:space="preserve"> from 1 to </w:t>
      </w:r>
      <w:r w:rsidR="00134B83">
        <w:rPr>
          <w:rFonts w:cs="Arial"/>
          <w:i/>
          <w:color w:val="auto"/>
        </w:rPr>
        <w:t>k</w:t>
      </w:r>
      <w:r w:rsidR="00134B83">
        <w:rPr>
          <w:rFonts w:cs="Arial"/>
          <w:i/>
          <w:color w:val="auto"/>
          <w:vertAlign w:val="subscript"/>
        </w:rPr>
        <w:t>max</w:t>
      </w:r>
      <w:r w:rsidR="00134B83">
        <w:rPr>
          <w:rFonts w:cs="Arial"/>
          <w:color w:val="auto"/>
        </w:rPr>
        <w:t xml:space="preserve">, </w:t>
      </w:r>
      <w:r w:rsidR="00134B83">
        <w:rPr>
          <w:rFonts w:cs="Arial"/>
          <w:i/>
          <w:color w:val="auto"/>
        </w:rPr>
        <w:t>k</w:t>
      </w:r>
      <w:r w:rsidR="00134B83">
        <w:rPr>
          <w:rFonts w:cs="Arial"/>
          <w:i/>
          <w:color w:val="auto"/>
          <w:vertAlign w:val="subscript"/>
        </w:rPr>
        <w:t>max</w:t>
      </w:r>
      <w:r w:rsidR="00134B83">
        <w:rPr>
          <w:rFonts w:cs="Arial"/>
          <w:color w:val="auto"/>
        </w:rPr>
        <w:t xml:space="preserve"> being the index corresponding </w:t>
      </w:r>
      <w:r w:rsidR="00134B83">
        <w:rPr>
          <w:rFonts w:cs="Arial"/>
          <w:color w:val="auto"/>
        </w:rPr>
        <w:lastRenderedPageBreak/>
        <w:t xml:space="preserve">to </w:t>
      </w:r>
      <w:r w:rsidR="00134B83" w:rsidRPr="00520515">
        <w:rPr>
          <w:rFonts w:cs="Arial"/>
          <w:i/>
          <w:color w:val="auto"/>
        </w:rPr>
        <w:t>F</w:t>
      </w:r>
      <w:r w:rsidR="00134B83" w:rsidRPr="00134B83">
        <w:rPr>
          <w:rFonts w:cs="Arial"/>
          <w:i/>
          <w:color w:val="auto"/>
          <w:vertAlign w:val="subscript"/>
        </w:rPr>
        <w:t>kmax</w:t>
      </w:r>
      <w:r w:rsidR="00134B83">
        <w:rPr>
          <w:rFonts w:cs="Arial"/>
          <w:color w:val="auto"/>
        </w:rPr>
        <w:t>(</w:t>
      </w:r>
      <w:r w:rsidR="00134B83" w:rsidRPr="00520515">
        <w:rPr>
          <w:rFonts w:cs="Arial"/>
          <w:i/>
          <w:color w:val="auto"/>
        </w:rPr>
        <w:t>F</w:t>
      </w:r>
      <w:r w:rsidR="00134B83" w:rsidRPr="00520515">
        <w:rPr>
          <w:rFonts w:cs="Arial"/>
          <w:i/>
          <w:color w:val="auto"/>
          <w:vertAlign w:val="subscript"/>
        </w:rPr>
        <w:t>ub</w:t>
      </w:r>
      <w:r w:rsidR="00134B83">
        <w:rPr>
          <w:rFonts w:cs="Arial"/>
          <w:color w:val="auto"/>
        </w:rPr>
        <w:t>)</w:t>
      </w:r>
      <w:r w:rsidR="000331D1">
        <w:rPr>
          <w:rFonts w:cs="Arial"/>
          <w:i/>
          <w:color w:val="auto"/>
        </w:rPr>
        <w:t xml:space="preserve">. </w:t>
      </w:r>
      <w:r w:rsidR="000331D1">
        <w:rPr>
          <w:rFonts w:cs="Arial"/>
          <w:color w:val="auto"/>
        </w:rPr>
        <w:t xml:space="preserve">The </w:t>
      </w:r>
      <w:r w:rsidR="00D735BE">
        <w:rPr>
          <w:rFonts w:cs="Arial"/>
          <w:color w:val="auto"/>
        </w:rPr>
        <w:t>S</w:t>
      </w:r>
      <w:r w:rsidR="00D1317A">
        <w:rPr>
          <w:rFonts w:cs="Arial"/>
          <w:color w:val="auto"/>
        </w:rPr>
        <w:t xml:space="preserve">pecific </w:t>
      </w:r>
      <w:r w:rsidR="00D735BE">
        <w:rPr>
          <w:rFonts w:cs="Arial"/>
          <w:color w:val="auto"/>
        </w:rPr>
        <w:t>U</w:t>
      </w:r>
      <w:r w:rsidR="00D1317A">
        <w:rPr>
          <w:rFonts w:cs="Arial"/>
          <w:color w:val="auto"/>
        </w:rPr>
        <w:t xml:space="preserve">nbinding </w:t>
      </w:r>
      <w:r w:rsidR="00D735BE">
        <w:rPr>
          <w:rFonts w:cs="Arial"/>
          <w:color w:val="auto"/>
        </w:rPr>
        <w:t>P</w:t>
      </w:r>
      <w:r w:rsidR="00D1317A">
        <w:rPr>
          <w:rFonts w:cs="Arial"/>
          <w:color w:val="auto"/>
        </w:rPr>
        <w:t>robability SUP</w:t>
      </w:r>
      <w:r w:rsidR="00A5792B">
        <w:rPr>
          <w:rFonts w:cs="Arial"/>
          <w:color w:val="auto"/>
        </w:rPr>
        <w:t>(</w:t>
      </w:r>
      <w:r w:rsidR="00A5792B" w:rsidRPr="00D735BE">
        <w:rPr>
          <w:rFonts w:cs="Arial"/>
          <w:i/>
          <w:color w:val="auto"/>
        </w:rPr>
        <w:t>F</w:t>
      </w:r>
      <w:r w:rsidR="00A5792B">
        <w:rPr>
          <w:rFonts w:cs="Arial"/>
          <w:i/>
          <w:color w:val="auto"/>
          <w:vertAlign w:val="subscript"/>
        </w:rPr>
        <w:t>max</w:t>
      </w:r>
      <w:r w:rsidR="00A5792B">
        <w:rPr>
          <w:rFonts w:cs="Arial"/>
          <w:i/>
          <w:color w:val="auto"/>
        </w:rPr>
        <w:t>)</w:t>
      </w:r>
      <w:r w:rsidR="00D1317A">
        <w:rPr>
          <w:rFonts w:cs="Arial"/>
          <w:color w:val="auto"/>
        </w:rPr>
        <w:t>=100·</w:t>
      </w:r>
      <w:r w:rsidR="00D1317A" w:rsidRPr="00130060">
        <w:rPr>
          <w:rFonts w:cs="Arial"/>
          <w:i/>
          <w:color w:val="auto"/>
        </w:rPr>
        <w:t>N</w:t>
      </w:r>
      <w:r w:rsidR="00D1317A">
        <w:rPr>
          <w:rFonts w:cs="Arial"/>
          <w:i/>
          <w:color w:val="auto"/>
          <w:vertAlign w:val="subscript"/>
        </w:rPr>
        <w:t>SB</w:t>
      </w:r>
      <w:r w:rsidR="00D1317A">
        <w:rPr>
          <w:rFonts w:cs="Arial"/>
          <w:i/>
          <w:color w:val="auto"/>
        </w:rPr>
        <w:t>/</w:t>
      </w:r>
      <w:r w:rsidR="00D1317A" w:rsidRPr="00D1317A">
        <w:rPr>
          <w:rFonts w:cs="Arial"/>
          <w:i/>
          <w:color w:val="auto"/>
        </w:rPr>
        <w:t xml:space="preserve"> </w:t>
      </w:r>
      <w:r w:rsidR="00D1317A" w:rsidRPr="00130060">
        <w:rPr>
          <w:rFonts w:cs="Arial"/>
          <w:i/>
          <w:color w:val="auto"/>
        </w:rPr>
        <w:t>N</w:t>
      </w:r>
      <w:r w:rsidR="00D1317A">
        <w:rPr>
          <w:rFonts w:cs="Arial"/>
          <w:i/>
          <w:color w:val="auto"/>
          <w:vertAlign w:val="subscript"/>
        </w:rPr>
        <w:t>TOT</w:t>
      </w:r>
      <w:r w:rsidR="00D1317A">
        <w:rPr>
          <w:rFonts w:cs="Arial"/>
          <w:color w:val="auto"/>
        </w:rPr>
        <w:t xml:space="preserve"> </w:t>
      </w:r>
      <w:r w:rsidR="000331D1">
        <w:rPr>
          <w:rFonts w:cs="Arial"/>
          <w:color w:val="auto"/>
        </w:rPr>
        <w:t>i</w:t>
      </w:r>
      <w:r w:rsidR="00D735BE">
        <w:rPr>
          <w:rFonts w:cs="Arial"/>
          <w:color w:val="auto"/>
        </w:rPr>
        <w:t>s the asymptotic limit of the curve</w:t>
      </w:r>
      <w:r w:rsidR="00A5792B">
        <w:rPr>
          <w:rFonts w:cs="Arial"/>
          <w:color w:val="auto"/>
        </w:rPr>
        <w:t>s</w:t>
      </w:r>
      <w:r w:rsidR="00D735BE">
        <w:rPr>
          <w:rFonts w:cs="Arial"/>
          <w:color w:val="auto"/>
        </w:rPr>
        <w:t xml:space="preserve"> shown in Fig. 6f</w:t>
      </w:r>
      <w:r w:rsidR="002A40E9">
        <w:rPr>
          <w:rFonts w:cs="Arial"/>
          <w:color w:val="auto"/>
        </w:rPr>
        <w:t>:</w:t>
      </w:r>
    </w:p>
    <w:p w:rsidR="00F728C2" w:rsidRDefault="002A40E9" w:rsidP="002A40E9">
      <w:pPr>
        <w:spacing w:line="480" w:lineRule="auto"/>
        <w:jc w:val="center"/>
        <w:rPr>
          <w:rFonts w:cs="Arial"/>
          <w:color w:val="auto"/>
        </w:rPr>
      </w:pPr>
      <w:r>
        <w:rPr>
          <w:rFonts w:cs="Arial"/>
          <w:color w:val="auto"/>
        </w:rPr>
        <w:t xml:space="preserve">(2) </w:t>
      </w:r>
      <w:r w:rsidR="00736252" w:rsidRPr="00736252">
        <w:rPr>
          <w:position w:val="-32"/>
        </w:rPr>
        <w:object w:dxaOrig="4239" w:dyaOrig="780">
          <v:shape id="_x0000_i1026" type="#_x0000_t75" style="width:211.3pt;height:39.25pt" o:ole="">
            <v:imagedata r:id="rId10" o:title=""/>
          </v:shape>
          <o:OLEObject Type="Embed" ProgID="Equation.3" ShapeID="_x0000_i1026" DrawAspect="Content" ObjectID="_1494322564" r:id="rId11"/>
        </w:object>
      </w:r>
    </w:p>
    <w:p w:rsidR="005E1A15" w:rsidRPr="00DB0D7C" w:rsidRDefault="00F728C2" w:rsidP="00F728C2">
      <w:pPr>
        <w:spacing w:line="480" w:lineRule="auto"/>
        <w:rPr>
          <w:rFonts w:cs="Arial"/>
          <w:color w:val="auto"/>
        </w:rPr>
      </w:pPr>
      <w:r w:rsidRPr="00DB0D7C">
        <w:rPr>
          <w:rFonts w:cs="Arial"/>
          <w:color w:val="auto"/>
        </w:rPr>
        <w:t>The</w:t>
      </w:r>
      <w:r>
        <w:rPr>
          <w:rFonts w:cs="Arial"/>
          <w:color w:val="auto"/>
        </w:rPr>
        <w:t xml:space="preserve"> </w:t>
      </w:r>
      <w:r w:rsidRPr="00DB0D7C">
        <w:rPr>
          <w:rFonts w:cs="Arial"/>
          <w:color w:val="auto"/>
        </w:rPr>
        <w:t>skewness</w:t>
      </w:r>
      <w:r>
        <w:rPr>
          <w:rFonts w:cs="Arial"/>
          <w:color w:val="auto"/>
        </w:rPr>
        <w:t xml:space="preserve"> (standardized</w:t>
      </w:r>
      <w:r w:rsidRPr="00DB0D7C">
        <w:rPr>
          <w:rFonts w:cs="Arial"/>
          <w:color w:val="auto"/>
        </w:rPr>
        <w:t xml:space="preserve"> </w:t>
      </w:r>
      <w:r w:rsidR="00DB0D7C" w:rsidRPr="00DB0D7C">
        <w:rPr>
          <w:rFonts w:cs="Arial"/>
          <w:color w:val="auto"/>
        </w:rPr>
        <w:t>third moment</w:t>
      </w:r>
      <w:r>
        <w:rPr>
          <w:rFonts w:cs="Arial"/>
          <w:color w:val="auto"/>
        </w:rPr>
        <w:t>) of each data set</w:t>
      </w:r>
      <w:r w:rsidR="00DB0D7C" w:rsidRPr="00DB0D7C">
        <w:rPr>
          <w:rFonts w:cs="Arial"/>
          <w:color w:val="auto"/>
        </w:rPr>
        <w:t xml:space="preserve"> is </w:t>
      </w:r>
      <w:r w:rsidR="001B68C5">
        <w:rPr>
          <w:rFonts w:cs="Arial"/>
          <w:color w:val="auto"/>
        </w:rPr>
        <w:t xml:space="preserve">found to be </w:t>
      </w:r>
      <w:r w:rsidR="00DB0D7C" w:rsidRPr="00DB0D7C">
        <w:rPr>
          <w:rFonts w:cs="Arial"/>
          <w:color w:val="auto"/>
        </w:rPr>
        <w:t xml:space="preserve">significant as its </w:t>
      </w:r>
      <w:r w:rsidR="000D6D37" w:rsidRPr="00DB0D7C">
        <w:rPr>
          <w:rFonts w:cs="Arial"/>
          <w:color w:val="auto"/>
        </w:rPr>
        <w:t xml:space="preserve">values </w:t>
      </w:r>
      <w:r w:rsidR="001B68C5">
        <w:rPr>
          <w:rFonts w:cs="Arial"/>
          <w:color w:val="auto"/>
        </w:rPr>
        <w:t>largely exceed</w:t>
      </w:r>
      <w:r w:rsidR="001338E1" w:rsidRPr="00DB0D7C">
        <w:rPr>
          <w:rFonts w:cs="Arial"/>
          <w:color w:val="auto"/>
        </w:rPr>
        <w:t xml:space="preserve"> </w:t>
      </w:r>
      <w:r w:rsidR="00DB0D7C" w:rsidRPr="00DB0D7C">
        <w:rPr>
          <w:rFonts w:cs="Arial"/>
          <w:color w:val="auto"/>
        </w:rPr>
        <w:t xml:space="preserve">the </w:t>
      </w:r>
      <w:r w:rsidR="001B68C5">
        <w:rPr>
          <w:rFonts w:cs="Arial"/>
          <w:color w:val="auto"/>
        </w:rPr>
        <w:t xml:space="preserve">corresponding </w:t>
      </w:r>
      <w:r w:rsidR="00736252" w:rsidRPr="00DB0D7C">
        <w:rPr>
          <w:rFonts w:cs="Arial"/>
          <w:color w:val="auto"/>
        </w:rPr>
        <w:t>Gaussian</w:t>
      </w:r>
      <w:r w:rsidR="00DB0D7C" w:rsidRPr="00DB0D7C">
        <w:rPr>
          <w:rFonts w:cs="Arial"/>
          <w:color w:val="auto"/>
        </w:rPr>
        <w:t xml:space="preserve"> </w:t>
      </w:r>
      <w:r w:rsidR="00DF698F">
        <w:rPr>
          <w:rFonts w:cs="Arial"/>
          <w:color w:val="auto"/>
        </w:rPr>
        <w:t>distribution estimator</w:t>
      </w:r>
      <w:r w:rsidR="001B68C5" w:rsidRPr="001B68C5">
        <w:rPr>
          <w:position w:val="-14"/>
        </w:rPr>
        <w:object w:dxaOrig="840" w:dyaOrig="420">
          <v:shape id="_x0000_i1027" type="#_x0000_t75" style="width:42.1pt;height:21.5pt" o:ole="">
            <v:imagedata r:id="rId12" o:title=""/>
          </v:shape>
          <o:OLEObject Type="Embed" ProgID="Equation.3" ShapeID="_x0000_i1027" DrawAspect="Content" ObjectID="_1494322565" r:id="rId13"/>
        </w:object>
      </w:r>
      <w:r w:rsidR="001B68C5">
        <w:rPr>
          <w:rFonts w:cs="Arial"/>
          <w:color w:val="auto"/>
        </w:rPr>
        <w:t>.</w:t>
      </w:r>
      <w:r w:rsidR="00B43940" w:rsidRPr="00541955">
        <w:rPr>
          <w:rFonts w:cs="Arial"/>
          <w:color w:val="auto"/>
        </w:rPr>
        <w:fldChar w:fldCharType="begin" w:fldLock="1"/>
      </w:r>
      <w:r w:rsidR="00DD1C36" w:rsidRPr="00541955">
        <w:rPr>
          <w:rFonts w:cs="Arial"/>
          <w:color w:val="auto"/>
        </w:rPr>
        <w:instrText>ADDIN CSL_CITATION { "citationItems" : [ { "id" : "ITEM-1", "itemData" : { "ISBN" : "9780521880688", "author" : [ { "dropping-particle" : "", "family" : "Press", "given" : "William H.", "non-dropping-particle" : "", "parse-names" : false, "suffix" : "" }, { "dropping-particle" : "", "family" : "Teukolsky", "given" : "Saul A.", "non-dropping-particle" : "", "parse-names" : false, "suffix" : "" }, { "dropping-particle" : "", "family" : "Vetterling", "given" : "William T.", "non-dropping-particle" : "", "parse-names" : false, "suffix" : "" }, { "dropping-particle" : "", "family" : "Flannery", "given" : "Brian P.", "non-dropping-particle" : "", "parse-names" : false, "suffix" : "" } ], "id" : "ITEM-1", "issued" : { "date-parts" : [ [ "2007" ] ] }, "title" : "Numerical recipes, The art of Scientific Computing", "type" : "book" }, "uris" : [ "http://www.mendeley.com/documents/?uuid=3733182b-f96f-4248-bcff-c50a0b21bfe2" ] } ], "mendeley" : { "formattedCitation" : "&lt;sup&gt;55&lt;/sup&gt;", "plainTextFormattedCitation" : "55", "previouslyFormattedCitation" : "&lt;sup&gt;55&lt;/sup&gt;" }, "properties" : { "noteIndex" : 0 }, "schema" : "https://github.com/citation-style-language/schema/raw/master/csl-citation.json" }</w:instrText>
      </w:r>
      <w:r w:rsidR="00B43940" w:rsidRPr="00541955">
        <w:rPr>
          <w:rFonts w:cs="Arial"/>
          <w:color w:val="auto"/>
        </w:rPr>
        <w:fldChar w:fldCharType="separate"/>
      </w:r>
      <w:r w:rsidR="00DD1C36" w:rsidRPr="00541955">
        <w:rPr>
          <w:rFonts w:cs="Arial"/>
          <w:noProof/>
          <w:color w:val="auto"/>
          <w:vertAlign w:val="superscript"/>
        </w:rPr>
        <w:t>55</w:t>
      </w:r>
      <w:r w:rsidR="00B43940" w:rsidRPr="00541955">
        <w:rPr>
          <w:rFonts w:cs="Arial"/>
          <w:color w:val="auto"/>
        </w:rPr>
        <w:fldChar w:fldCharType="end"/>
      </w:r>
      <w:r w:rsidR="000D6D37" w:rsidRPr="00DB0D7C">
        <w:rPr>
          <w:rFonts w:cs="Arial"/>
          <w:color w:val="auto"/>
        </w:rPr>
        <w:t xml:space="preserve"> </w:t>
      </w:r>
      <w:r w:rsidR="00BA30C5">
        <w:rPr>
          <w:rFonts w:cs="Arial"/>
          <w:color w:val="auto"/>
        </w:rPr>
        <w:t>The three</w:t>
      </w:r>
      <w:r w:rsidR="00604310" w:rsidRPr="00DB0D7C">
        <w:rPr>
          <w:rFonts w:cs="Arial"/>
          <w:color w:val="auto"/>
        </w:rPr>
        <w:t xml:space="preserve"> </w:t>
      </w:r>
      <w:r w:rsidR="00130060">
        <w:rPr>
          <w:rFonts w:cs="Arial"/>
          <w:color w:val="auto"/>
        </w:rPr>
        <w:t>data sets</w:t>
      </w:r>
      <w:r w:rsidR="000D6D37" w:rsidRPr="00DB0D7C">
        <w:rPr>
          <w:rFonts w:cs="Arial"/>
          <w:color w:val="auto"/>
        </w:rPr>
        <w:t xml:space="preserve"> </w:t>
      </w:r>
      <w:r w:rsidR="00130060">
        <w:rPr>
          <w:rFonts w:cs="Arial"/>
          <w:color w:val="auto"/>
        </w:rPr>
        <w:t>exhibit a</w:t>
      </w:r>
      <w:r w:rsidR="00604310" w:rsidRPr="00DB0D7C">
        <w:rPr>
          <w:rFonts w:cs="Arial"/>
          <w:color w:val="auto"/>
        </w:rPr>
        <w:t xml:space="preserve"> mean</w:t>
      </w:r>
      <w:r w:rsidR="00DB0D7C" w:rsidRPr="00DB0D7C">
        <w:rPr>
          <w:rFonts w:cs="Arial"/>
          <w:color w:val="auto"/>
        </w:rPr>
        <w:t xml:space="preserve"> force</w:t>
      </w:r>
      <w:r w:rsidR="00130060">
        <w:rPr>
          <w:rFonts w:cs="Arial"/>
          <w:color w:val="auto"/>
        </w:rPr>
        <w:t xml:space="preserve"> value</w:t>
      </w:r>
      <w:r w:rsidR="00604310" w:rsidRPr="00DB0D7C">
        <w:rPr>
          <w:rFonts w:cs="Arial"/>
          <w:color w:val="auto"/>
        </w:rPr>
        <w:t xml:space="preserve"> </w:t>
      </w:r>
      <w:r w:rsidR="00B43940" w:rsidRPr="00B43940">
        <w:rPr>
          <w:rFonts w:cs="Arial"/>
          <w:color w:val="auto"/>
          <w:position w:val="-16"/>
        </w:rPr>
        <w:pict>
          <v:shape id="_x0000_i1028" type="#_x0000_t75" style="width:28.05pt;height:21.95pt">
            <v:imagedata r:id="rId14" o:title=""/>
          </v:shape>
        </w:pict>
      </w:r>
      <w:r w:rsidR="00130060">
        <w:rPr>
          <w:rFonts w:cs="Arial"/>
          <w:color w:val="auto"/>
        </w:rPr>
        <w:t>(</w:t>
      </w:r>
      <w:r w:rsidR="00130060" w:rsidRPr="00DB0D7C">
        <w:rPr>
          <w:color w:val="auto"/>
        </w:rPr>
        <w:t>±</w:t>
      </w:r>
      <w:r w:rsidR="00B43940" w:rsidRPr="00B43940">
        <w:rPr>
          <w:rFonts w:cs="Arial"/>
          <w:color w:val="auto"/>
          <w:position w:val="-6"/>
        </w:rPr>
        <w:pict>
          <v:shape id="_x0000_i1029" type="#_x0000_t75" style="width:11.7pt;height:11.7pt">
            <v:imagedata r:id="rId15" o:title=""/>
          </v:shape>
        </w:pict>
      </w:r>
      <w:r w:rsidR="00130060">
        <w:rPr>
          <w:rFonts w:cs="Arial"/>
          <w:color w:val="auto"/>
        </w:rPr>
        <w:t>)</w:t>
      </w:r>
      <w:r w:rsidR="00604310" w:rsidRPr="00DB0D7C">
        <w:rPr>
          <w:rFonts w:cs="Arial"/>
          <w:color w:val="auto"/>
        </w:rPr>
        <w:t xml:space="preserve"> equal to 98(</w:t>
      </w:r>
      <w:r w:rsidR="00604310" w:rsidRPr="00DB0D7C">
        <w:rPr>
          <w:color w:val="auto"/>
        </w:rPr>
        <w:t>±</w:t>
      </w:r>
      <w:r w:rsidR="00604310" w:rsidRPr="00DB0D7C">
        <w:rPr>
          <w:rFonts w:cs="Arial"/>
          <w:color w:val="auto"/>
        </w:rPr>
        <w:t>55) pN, 109(</w:t>
      </w:r>
      <w:r w:rsidR="00604310" w:rsidRPr="00DB0D7C">
        <w:rPr>
          <w:color w:val="auto"/>
        </w:rPr>
        <w:t>±</w:t>
      </w:r>
      <w:r w:rsidR="00604310" w:rsidRPr="00DB0D7C">
        <w:rPr>
          <w:rFonts w:cs="Arial"/>
          <w:color w:val="auto"/>
        </w:rPr>
        <w:t>59) pN and 80(</w:t>
      </w:r>
      <w:r w:rsidR="00604310" w:rsidRPr="00DB0D7C">
        <w:rPr>
          <w:color w:val="auto"/>
        </w:rPr>
        <w:t>±</w:t>
      </w:r>
      <w:r w:rsidR="00604310" w:rsidRPr="00DB0D7C">
        <w:rPr>
          <w:rFonts w:cs="Arial"/>
          <w:color w:val="auto"/>
        </w:rPr>
        <w:t xml:space="preserve">39) pN </w:t>
      </w:r>
      <w:r w:rsidR="00DB0D7C" w:rsidRPr="00DB0D7C">
        <w:rPr>
          <w:rFonts w:cs="Arial"/>
          <w:color w:val="auto"/>
        </w:rPr>
        <w:t xml:space="preserve">for PG, HSC6NH2, </w:t>
      </w:r>
      <w:r w:rsidR="00DB0D7C">
        <w:rPr>
          <w:rFonts w:cs="Arial"/>
          <w:color w:val="auto"/>
        </w:rPr>
        <w:t xml:space="preserve">and </w:t>
      </w:r>
      <w:r w:rsidR="00D1317A">
        <w:rPr>
          <w:rFonts w:cs="Arial"/>
          <w:color w:val="auto"/>
        </w:rPr>
        <w:t>cross</w:t>
      </w:r>
      <w:r w:rsidR="00DB0D7C" w:rsidRPr="00DB0D7C">
        <w:rPr>
          <w:rFonts w:cs="Arial"/>
          <w:color w:val="auto"/>
        </w:rPr>
        <w:t xml:space="preserve">check samples </w:t>
      </w:r>
      <w:r w:rsidR="00604310" w:rsidRPr="00DB0D7C">
        <w:rPr>
          <w:rFonts w:cs="Arial"/>
          <w:color w:val="auto"/>
        </w:rPr>
        <w:t xml:space="preserve">respectively. </w:t>
      </w:r>
      <w:r w:rsidR="00DB0D7C" w:rsidRPr="00DB0D7C">
        <w:rPr>
          <w:rFonts w:cs="Arial"/>
          <w:color w:val="auto"/>
        </w:rPr>
        <w:t>We have inserted the</w:t>
      </w:r>
      <w:r w:rsidR="00130060">
        <w:rPr>
          <w:rFonts w:cs="Arial"/>
          <w:color w:val="auto"/>
        </w:rPr>
        <w:t>se values</w:t>
      </w:r>
      <w:r w:rsidR="00DB0D7C" w:rsidRPr="00DB0D7C">
        <w:rPr>
          <w:rFonts w:cs="Arial"/>
          <w:color w:val="auto"/>
        </w:rPr>
        <w:t xml:space="preserve"> </w:t>
      </w:r>
      <w:r w:rsidR="00130060">
        <w:rPr>
          <w:rFonts w:cs="Arial"/>
          <w:color w:val="auto"/>
        </w:rPr>
        <w:t>as parameters in</w:t>
      </w:r>
      <w:r w:rsidR="00DB0D7C" w:rsidRPr="00DB0D7C">
        <w:rPr>
          <w:rFonts w:cs="Arial"/>
          <w:color w:val="auto"/>
        </w:rPr>
        <w:t xml:space="preserve"> the</w:t>
      </w:r>
      <w:r w:rsidR="00573D28" w:rsidRPr="00DB0D7C">
        <w:rPr>
          <w:rFonts w:cs="Arial"/>
          <w:color w:val="auto"/>
        </w:rPr>
        <w:t xml:space="preserve"> </w:t>
      </w:r>
      <w:r w:rsidR="009A6C50">
        <w:rPr>
          <w:rFonts w:cs="Arial"/>
          <w:color w:val="auto"/>
        </w:rPr>
        <w:t>functional</w:t>
      </w:r>
      <w:r w:rsidR="001338E1" w:rsidRPr="00DB0D7C">
        <w:rPr>
          <w:rFonts w:cs="Arial"/>
          <w:color w:val="auto"/>
        </w:rPr>
        <w:t>,</w:t>
      </w:r>
      <w:r w:rsidR="00B43940" w:rsidRPr="00541955">
        <w:rPr>
          <w:rFonts w:cs="Arial"/>
          <w:color w:val="auto"/>
        </w:rPr>
        <w:fldChar w:fldCharType="begin" w:fldLock="1"/>
      </w:r>
      <w:r w:rsidR="00DD1C36" w:rsidRPr="00541955">
        <w:rPr>
          <w:rFonts w:cs="Arial"/>
          <w:color w:val="auto"/>
        </w:rPr>
        <w:instrText>ADDIN CSL_CITATION { "citationItems" : [ { "id" : "ITEM-1", "itemData" : { "author" : [ { "dropping-particle" : "", "family" : "Abramowitz", "given" : "Milton", "non-dropping-particle" : "", "parse-names" : false, "suffix" : "" }, { "dropping-particle" : "", "family" : "Stegun", "given" : "Irene A.", "non-dropping-particle" : "", "parse-names" : false, "suffix" : "" } ], "id" : "ITEM-1", "issued" : { "date-parts" : [ [ "1972" ] ] }, "title" : "Handbook of mathematical functions with formulas, graphs, and mathematical tables", "type" : "book" }, "uris" : [ "http://www.mendeley.com/documents/?uuid=7103e9cc-959b-4174-8266-9e72028df720" ] }, { "id" : "ITEM-2", "itemData" : { "author" : [ { "dropping-particle" : "", "family" : "Biscarini", "given" : "F.", "non-dropping-particle" : "", "parse-names" : false, "suffix" : "" }, { "dropping-particle" : "", "family" : "Zamboni", "given" : "R.", "non-dropping-particle" : "", "parse-names" : false, "suffix" : "" }, { "dropping-particle" : "", "family" : "Samor\u00ec", "given" : "P.", "non-dropping-particle" : "", "parse-names" : false, "suffix" : "" }, { "dropping-particle" : "", "family" : "Ostoja", "given" : "P.", "non-dropping-particle" : "", "parse-names" : false, "suffix" : "" }, { "dropping-particle" : "", "family" : "Taliani", "given" : "C.", "non-dropping-particle" : "", "parse-names" : false, "suffix" : "" } ], "container-title" : "Physical Review B", "id" : "ITEM-2", "issue" : "20", "issued" : { "date-parts" : [ [ "1995" ] ] }, "page" : "14868-14877", "title" : "Growth of conjugated oligomer thin films studied by atomic-force microscopy", "type" : "article-journal", "volume" : "52" }, "uris" : [ "http://www.mendeley.com/documents/?uuid=64cb6090-c881-4b84-852b-bcf0b97c1d9e" ] } ], "mendeley" : { "formattedCitation" : "&lt;sup&gt;56,57&lt;/sup&gt;", "plainTextFormattedCitation" : "56,57", "previouslyFormattedCitation" : "&lt;sup&gt;56,57&lt;/sup&gt;" }, "properties" : { "noteIndex" : 0 }, "schema" : "https://github.com/citation-style-language/schema/raw/master/csl-citation.json" }</w:instrText>
      </w:r>
      <w:r w:rsidR="00B43940" w:rsidRPr="00541955">
        <w:rPr>
          <w:rFonts w:cs="Arial"/>
          <w:color w:val="auto"/>
        </w:rPr>
        <w:fldChar w:fldCharType="separate"/>
      </w:r>
      <w:r w:rsidR="00DD1C36" w:rsidRPr="00541955">
        <w:rPr>
          <w:rFonts w:cs="Arial"/>
          <w:noProof/>
          <w:color w:val="auto"/>
          <w:vertAlign w:val="superscript"/>
        </w:rPr>
        <w:t>56,57</w:t>
      </w:r>
      <w:r w:rsidR="00B43940" w:rsidRPr="00541955">
        <w:rPr>
          <w:rFonts w:cs="Arial"/>
          <w:color w:val="auto"/>
        </w:rPr>
        <w:fldChar w:fldCharType="end"/>
      </w:r>
    </w:p>
    <w:p w:rsidR="00BA30C5" w:rsidRPr="000331D1" w:rsidRDefault="0036631E" w:rsidP="002A336B">
      <w:pPr>
        <w:spacing w:line="480" w:lineRule="auto"/>
        <w:ind w:left="360"/>
        <w:jc w:val="center"/>
        <w:rPr>
          <w:rFonts w:cs="Arial"/>
          <w:color w:val="auto"/>
          <w:position w:val="-34"/>
        </w:rPr>
      </w:pPr>
      <w:r w:rsidRPr="000331D1">
        <w:rPr>
          <w:position w:val="-34"/>
        </w:rPr>
        <w:object w:dxaOrig="8480" w:dyaOrig="859">
          <v:shape id="_x0000_i1030" type="#_x0000_t75" style="width:424.05pt;height:42.55pt" o:ole="">
            <v:imagedata r:id="rId16" o:title=""/>
          </v:shape>
          <o:OLEObject Type="Embed" ProgID="Equation.3" ShapeID="_x0000_i1030" DrawAspect="Content" ObjectID="_1494322566" r:id="rId17"/>
        </w:object>
      </w:r>
    </w:p>
    <w:p w:rsidR="008E5A64" w:rsidRPr="0036631E" w:rsidRDefault="00DB0D7C" w:rsidP="00981331">
      <w:pPr>
        <w:spacing w:line="480" w:lineRule="auto"/>
        <w:rPr>
          <w:rFonts w:cs="Arial"/>
          <w:color w:val="auto"/>
        </w:rPr>
      </w:pPr>
      <w:r w:rsidRPr="00DB0D7C">
        <w:rPr>
          <w:rFonts w:cs="Arial"/>
          <w:color w:val="auto"/>
        </w:rPr>
        <w:t xml:space="preserve">Eq. </w:t>
      </w:r>
      <w:r w:rsidR="000331D1">
        <w:rPr>
          <w:rFonts w:cs="Arial"/>
          <w:color w:val="auto"/>
        </w:rPr>
        <w:t>3</w:t>
      </w:r>
      <w:r w:rsidRPr="00DB0D7C">
        <w:rPr>
          <w:rFonts w:cs="Arial"/>
          <w:color w:val="auto"/>
        </w:rPr>
        <w:t xml:space="preserve"> describes a chi-square distribution </w:t>
      </w:r>
      <w:r w:rsidR="004E747B">
        <w:rPr>
          <w:rFonts w:cs="Arial"/>
          <w:color w:val="auto"/>
        </w:rPr>
        <w:t xml:space="preserve">normalized to the overall probability to detect a specific </w:t>
      </w:r>
      <w:r w:rsidR="00807094">
        <w:rPr>
          <w:rFonts w:cs="Arial"/>
          <w:color w:val="auto"/>
        </w:rPr>
        <w:t>un</w:t>
      </w:r>
      <w:r w:rsidR="004E747B">
        <w:rPr>
          <w:rFonts w:cs="Arial"/>
          <w:color w:val="auto"/>
        </w:rPr>
        <w:t xml:space="preserve">binding event. Here the parameters are: </w:t>
      </w:r>
      <w:r w:rsidR="005E1A15" w:rsidRPr="00DB0D7C">
        <w:rPr>
          <w:rFonts w:cs="Arial"/>
          <w:i/>
          <w:color w:val="auto"/>
        </w:rPr>
        <w:t>p</w:t>
      </w:r>
      <w:r w:rsidRPr="00DB0D7C">
        <w:rPr>
          <w:rFonts w:cs="Arial"/>
          <w:color w:val="auto"/>
        </w:rPr>
        <w:t>=</w:t>
      </w:r>
      <w:r w:rsidR="00B43940" w:rsidRPr="00B43940">
        <w:rPr>
          <w:rFonts w:cs="Arial"/>
          <w:color w:val="auto"/>
          <w:position w:val="-38"/>
        </w:rPr>
        <w:pict>
          <v:shape id="_x0000_i1031" type="#_x0000_t75" style="width:45.35pt;height:46.75pt">
            <v:imagedata r:id="rId18" o:title=""/>
          </v:shape>
        </w:pict>
      </w:r>
      <w:r w:rsidR="004E747B" w:rsidRPr="000331D1">
        <w:rPr>
          <w:rFonts w:cs="Arial"/>
          <w:color w:val="auto"/>
        </w:rPr>
        <w:t>,</w:t>
      </w:r>
      <w:r w:rsidR="004E747B" w:rsidRPr="0036631E">
        <w:rPr>
          <w:rFonts w:cs="Arial"/>
          <w:color w:val="auto"/>
        </w:rPr>
        <w:t xml:space="preserve"> </w:t>
      </w:r>
      <w:r w:rsidR="00B43940" w:rsidRPr="00B43940">
        <w:rPr>
          <w:rFonts w:cs="Arial"/>
          <w:color w:val="auto"/>
          <w:position w:val="-10"/>
        </w:rPr>
        <w:pict>
          <v:shape id="_x0000_i1032" type="#_x0000_t75" style="width:25.7pt;height:16.85pt">
            <v:imagedata r:id="rId19" o:title=""/>
          </v:shape>
        </w:pict>
      </w:r>
      <w:r w:rsidR="005E1A15" w:rsidRPr="000331D1">
        <w:rPr>
          <w:rFonts w:cs="Arial"/>
          <w:color w:val="auto"/>
        </w:rPr>
        <w:t xml:space="preserve"> </w:t>
      </w:r>
      <w:r w:rsidR="004E747B" w:rsidRPr="000331D1">
        <w:rPr>
          <w:rFonts w:cs="Arial"/>
          <w:color w:val="auto"/>
        </w:rPr>
        <w:t xml:space="preserve">is the </w:t>
      </w:r>
      <w:r w:rsidR="00573D28" w:rsidRPr="000331D1">
        <w:rPr>
          <w:rFonts w:cs="Arial"/>
          <w:color w:val="auto"/>
        </w:rPr>
        <w:t>gamma function</w:t>
      </w:r>
      <w:r w:rsidR="000331D1" w:rsidRPr="000331D1">
        <w:rPr>
          <w:rFonts w:cs="Arial"/>
          <w:color w:val="auto"/>
        </w:rPr>
        <w:t>.</w:t>
      </w:r>
      <w:r w:rsidR="000D6D37" w:rsidRPr="000331D1">
        <w:rPr>
          <w:rFonts w:cs="Arial"/>
          <w:color w:val="auto"/>
        </w:rPr>
        <w:t xml:space="preserve"> The trends of SUPD</w:t>
      </w:r>
      <w:r w:rsidR="000331D1" w:rsidRPr="000331D1">
        <w:rPr>
          <w:rFonts w:cs="Arial"/>
          <w:color w:val="auto"/>
        </w:rPr>
        <w:t>, depicted as continuous curves overlapping the histograms in Fig. 6e,</w:t>
      </w:r>
      <w:r w:rsidR="000D6D37" w:rsidRPr="000331D1">
        <w:rPr>
          <w:rFonts w:cs="Arial"/>
          <w:color w:val="auto"/>
        </w:rPr>
        <w:t xml:space="preserve"> </w:t>
      </w:r>
      <w:r w:rsidR="003A7601" w:rsidRPr="000331D1">
        <w:rPr>
          <w:rFonts w:cs="Arial"/>
          <w:color w:val="auto"/>
        </w:rPr>
        <w:t>show a</w:t>
      </w:r>
      <w:r w:rsidR="00735CE0" w:rsidRPr="000331D1">
        <w:rPr>
          <w:rFonts w:cs="Arial"/>
          <w:color w:val="auto"/>
        </w:rPr>
        <w:t xml:space="preserve"> conformational</w:t>
      </w:r>
      <w:r w:rsidR="003A7601" w:rsidRPr="000331D1">
        <w:rPr>
          <w:rFonts w:cs="Arial"/>
          <w:color w:val="auto"/>
        </w:rPr>
        <w:t xml:space="preserve"> </w:t>
      </w:r>
      <w:r w:rsidR="000331D1" w:rsidRPr="000331D1">
        <w:rPr>
          <w:rFonts w:cs="Arial"/>
          <w:color w:val="auto"/>
        </w:rPr>
        <w:t>adherence</w:t>
      </w:r>
      <w:r w:rsidR="00735CE0" w:rsidRPr="000331D1">
        <w:rPr>
          <w:rFonts w:cs="Arial"/>
          <w:color w:val="auto"/>
        </w:rPr>
        <w:t xml:space="preserve"> within the force range from 20 pN to 300 pN</w:t>
      </w:r>
      <w:r w:rsidR="000D6D37" w:rsidRPr="000331D1">
        <w:rPr>
          <w:rFonts w:cs="Arial"/>
          <w:color w:val="auto"/>
        </w:rPr>
        <w:t>.</w:t>
      </w:r>
      <w:r w:rsidR="00B43940" w:rsidRPr="00541955">
        <w:rPr>
          <w:rFonts w:cs="Arial"/>
          <w:color w:val="auto"/>
          <w:shd w:val="clear" w:color="auto" w:fill="FFFFFF"/>
        </w:rPr>
        <w:fldChar w:fldCharType="begin" w:fldLock="1"/>
      </w:r>
      <w:r w:rsidR="00DD1C36" w:rsidRPr="00541955">
        <w:rPr>
          <w:rFonts w:cs="Arial"/>
          <w:color w:val="auto"/>
          <w:shd w:val="clear" w:color="auto" w:fill="FFFFFF"/>
        </w:rPr>
        <w:instrText>ADDIN CSL_CITATION { "citationItems" : [ { "id" : "ITEM-1", "itemData" : { "DOI" : "10.1073/pnas.97.18.9972", "abstract" : "Point mutants of three unrelated antifluorescein antibodies were constructed to obtain nine different single-chain Fv fragments, whose on-rates, off-rates, and equilibrium binding affinities were determined in solution. Additionally, activation energies for unbinding were estimated from the temperature dependence of the off-rate in solution. Loading rate-dependent unbinding forces were determined for single molecules by atomic force microscopy, which extrapolated at zero force to a value close to the off-rate measured in solution, without any indication for multiple transition states. The measured unbinding forces of all nine mutants correlated well with the off-rate in solution, but not with the temperature dependence of the reaction, indicating that the same transition state must be crossed in spontaneous and forced unbinding and that the unbinding path under load cannot be too different from the one at zero force. The distance of the transition state from the ground state along the unbinding pathway is directly proportional to the barrier height, regardless of the details of the binding site, which most likely reflects the elasticity of the protein in the unbinding process. Atomic force microscopy thus can be a valuable tool for the characterization of solution properties of protein-ligand systems at the single molecule level, predicting relative off-rates, potentially of great value for combinatorial chemistry and biology.", "author" : [ { "dropping-particle" : "", "family" : "Schwesinger", "given" : "Falk", "non-dropping-particle" : "", "parse-names" : false, "suffix" : "" }, { "dropping-particle" : "", "family" : "Ros", "given" : "Robert", "non-dropping-particle" : "", "parse-names" : false, "suffix" : "" }, { "dropping-particle" : "", "family" : "Strunz", "given" : "Torsten", "non-dropping-particle" : "", "parse-names" : false, "suffix" : "" }, { "dropping-particle" : "", "family" : "Anselmetti", "given" : "Dario", "non-dropping-particle" : "", "parse-names" : false, "suffix" : "" }, { "dropping-particle" : "", "family" : "G\u00fcntherodt", "given" : "Hans-Joachim", "non-dropping-particle" : "", "parse-names" : false, "suffix" : "" }, { "dropping-particle" : "", "family" : "Honegger", "given" : "Annemarie", "non-dropping-particle" : "", "parse-names" : false, "suffix" : "" }, { "dropping-particle" : "", "family" : "Jermutus", "given" : "Lutz", "non-dropping-particle" : "", "parse-names" : false, "suffix" : "" }, { "dropping-particle" : "", "family" : "Tiefenauer", "given" : "Louis", "non-dropping-particle" : "", "parse-names" : false, "suffix" : "" }, { "dropping-particle" : "", "family" : "Pl\u00fcckthun", "given" : "Andreas", "non-dropping-particle" : "", "parse-names" : false, "suffix" : "" } ], "container-title" : "Proceedings of the National Academy of Sciences", "id" : "ITEM-1", "issue" : "18", "issued" : { "date-parts" : [ [ "2000" ] ] }, "page" : "9972-9977", "title" : "Unbinding forces of single antibody-antigen complexes correlate with their thermal dissociation rates", "type" : "article-journal", "volume" : "97" }, "uris" : [ "http://www.mendeley.com/documents/?uuid=bd679ceb-e9b9-4449-b1be-3811d781fac9" ] }, { "id" : "ITEM-2", "itemData" : { "DOI" : "10.1021/la048437y", "ISBN" : "0743-7463", "abstract" : "Specific and nonspecific interactions between antibody-modified probes and substrate-immobilized proteins were monitored by atomic force microscopy (AFM). Probes were modified with anti-ovalbumin IgG antibodies immobilized in either an oriented or a random manner. The oriented immobilization of whole IgG was accomplished through the use of Protein A, and random immobilization was carried out with glutaraldehyde. Nonspecific interactions may lead to false detection of antibody?antigen binding events even when the antigen binding sites are properly positioned by an oriented immobilization strategy. Thus, nonionic and zwitterionic surfactants, including Tween 20, Tween 80, Triton X-100, and CHAPS, were evaluated to determine if nonspecific binding events could be reduced without compromising the desired specific antibody?antigen binding. Enzyme-linked immunosorbent assay and surface plasmon resonance assays were also employed to study antibody?antigen binding as a function of immobilization strategy and surfactant concentration. The data from these studies indicate that Protein A can be used to immobilize whole IgG onto AFM probes for force measurement experiments and that a surfactant is useful for improving the selectivity for such measurements.", "author" : [ { "dropping-particle" : "", "family" : "Brogan", "given" : "Kathryn L", "non-dropping-particle" : "", "parse-names" : false, "suffix" : "" }, { "dropping-particle" : "", "family" : "Shin", "given" : "Jae Ho", "non-dropping-particle" : "", "parse-names" : false, "suffix" : "" }, { "dropping-particle" : "", "family" : "Schoenfisch", "given" : "Mark H", "non-dropping-particle" : "", "parse-names" : false, "suffix" : "" } ], "container-title" : "Langmuir", "id" : "ITEM-2", "issue" : "22", "issued" : { "date-parts" : [ [ "2004" ] ] }, "page" : "9729-9735", "publisher" : "American Chemical Society", "title" : "Influence of Surfactants and Antibody Immobilization Strategy on Reducing Nonspecific Protein Interactions for Molecular Recognition Force Microscopy", "type" : "article-journal", "volume" : "20" }, "uris" : [ "http://www.mendeley.com/documents/?uuid=2461d4a5-312a-48e5-bdaf-a736532fcbb2" ] }, { "id" : "ITEM-3", "itemData" : { "DOI" : "10.1021/la050162e", "ISBN" : "0743-7463 (Print)\n0743-7463", "PMID" : "15924483", "abstract" : "We used atomic force microscopy (AFM) to explore the antigen binding forces of individual Fv fragments of antilysozyme antibodies (Fv). To detect single molecular recognition events, genetically engineered histidine-tagged Fv fragments were coupled onto AFM tips modified with mixed self-assembled monolayers (SAMs) of nitrilotriacetic acid- and tri(ethylene glycol)-terminated alkanethiols while lysozyme (Lyso) was covalently immobilized onto mixed SAMs of carboxyl- and hydroxyl-terminated alkanethiols. The quality of the functionalization procedure was validated using X-ray photoelectron spectroscopy (surface chemical composition), AFM imaging (surface morphology in aqueous solution), and surface plasmon resonance (SPR, specific binding in aqueous solution). AFM force-distance curves recorded at a loading rate of 5000 pN/s between Fv- and Lyso-modified surfaces yielded a distribution of unbinding forces composed of integer multiples of an elementary force quantum of approximately 50 pN that we attribute to the rupture of a single antibody-antigen pair. Injection of a solution containing free Lyso caused a dramatic reduction of adhesion probability, indicating that the measured 50 pN unbinding forces are due to the specific antibody-antigen interaction. To investigate the dynamics of the interaction, force-distance curves were recorded at various loading rates. Plots of unbinding force vs log(loading rate) revealed two distinct linear regimes with ascending slopes, indicating multiple barriers were present in the energy landscape. The kinetic off-rate constant of dissociation (k(off) approximately = 1 x 10(-3) s(-1)) obtained by extrapolating the data of the low-strength regime to zero force was in the range of the k(off) estimated by SPR.", "author" : [ { "dropping-particle" : "", "family" : "Berquand", "given" : "A", "non-dropping-particle" : "", "parse-names" : false, "suffix" : "" }, { "dropping-particle" : "", "family" : "Xia", "given" : "N", "non-dropping-particle" : "", "parse-names" : false, "suffix" : "" }, { "dropping-particle" : "", "family" : "Castner", "given" : "D G", "non-dropping-particle" : "", "parse-names" : false, "suffix" : "" }, { "dropping-particle" : "", "family" : "Clare", "given" : "B H", "non-dropping-particle" : "", "parse-names" : false, "suffix" : "" }, { "dropping-particle" : "", "family" : "Abbott", "given" : "N L", "non-dropping-particle" : "", "parse-names" : false, "suffix" : "" }, { "dropping-particle" : "", "family" : "Dupres", "given" : "V", "non-dropping-particle" : "", "parse-names" : false, "suffix" : "" }, { "dropping-particle" : "", "family" : "Adriaensen", "given" : "Y", "non-dropping-particle" : "", "parse-names" : false, "suffix" : "" }, { "dropping-particle" : "", "family" : "Dufrene", "given" : "Y F", "non-dropping-particle" : "", "parse-names" : false, "suffix" : "" } ], "container-title" : "Langmuir", "edition" : "2005/06/01", "id" : "ITEM-3", "issue" : "12", "issued" : { "date-parts" : [ [ "2005" ] ] }, "page" : "5517-5523", "title" : "Antigen binding forces of single antilysozyme Fv fragments explored by atomic force microscopy", "type" : "article-journal", "volume" : "21" }, "uris" : [ "http://www.mendeley.com/documents/?uuid=43d55c7d-3156-45a3-b732-decd577460ec" ] }, { "id" : "ITEM-4", "itemData" : { "DOI" : "10.1016/j.jmb.2005.01.042", "ISBN" : "0022-2836 (Print)\n0022-2836", "PMID" : "15755453", "abstract" : "We investigated molecular recognition of antibodies to membrane-antigens and extraction of the antigens out of membranes at the single molecule level. Using dynamic force microscopy imaging and enzyme immunoassay, binding of anti-sendai antibodies to sendai-epitopes genetically fused into bacteriorhodopsin molecules from purple membranes were detected under physiological conditions. The antibody/antigen interaction strength of 70-170 pN at loading rates of 2-50 nN/second yielded a barrier width of x = 0.12 nm and a kinetic off-rate (corresponding to the barrier height) of k(off) = 6s(-1), respectively. Bacteriorhodopsin unfolding revealed a characteristic intra-molecular force pattern, in which wild-type and sendai-bacteriorhodopsin molecules were clearly distinguishable in their length distributions, originating from the additional 13 amino acid residues epitope in sendai purple membranes. The inter-molecular antibody/antigen unbinding force was significantly lower than the force required to mechanically extract the binding epitope-containing helix pair out of the membrane and unfold it (126 pN compared to 204 pN at the same loading rate), meeting the expectation that inter-molecular unbinding forces are weaker than intra-molecular unfolding forces responsible for stabilizing native conformations of proteins.", "author" : [ { "dropping-particle" : "", "family" : "Kienberger", "given" : "F", "non-dropping-particle" : "", "parse-names" : false, "suffix" : "" }, { "dropping-particle" : "", "family" : "Kada", "given" : "G", "non-dropping-particle" : "", "parse-names" : false, "suffix" : "" }, { "dropping-particle" : "", "family" : "Mueller", "given" : "H", "non-dropping-particle" : "", "parse-names" : false, "suffix" : "" }, { "dropping-particle" : "", "family" : "Hinterdorfer", "given" : "P", "non-dropping-particle" : "", "parse-names" : false, "suffix" : "" } ], "container-title" : "J Mol Biol", "edition" : "2005/03/10", "id" : "ITEM-4", "issue" : "3", "issued" : { "date-parts" : [ [ "2005" ] ] }, "page" : "597-606", "title" : "Single molecule studies of antibody-antigen interaction strength versus intra-molecular antigen stability", "type" : "article-journal", "volume" : "347" }, "uris" : [ "http://www.mendeley.com/documents/?uuid=c4be6c62-c424-4119-9af0-b741291621d3" ] }, { "id" : "ITEM-5", "itemData" : { "DOI" : "http://dx.doi.org/10.1016/j.ultramic.2014.02.005", "ISBN" : "0304-3991", "author" : [ { "dropping-particle" : "", "family" : "Es", "given" : "M H", "non-dropping-particle" : "van", "parse-names" : false, "suffix" : "" }, { "dropping-particle" : "", "family" : "Tang", "given" : "J", "non-dropping-particle" : "", "parse-names" : false, "suffix" : "" }, { "dropping-particle" : "", "family" : "Preiner", "given" : "J", "non-dropping-particle" : "", "parse-names" : false, "suffix" : "" }, { "dropping-particle" : "", "family" : "Hinterdorfer", "given" : "P", "non-dropping-particle" : "", "parse-names" : false, "suffix" : "" }, { "dropping-particle" : "", "family" : "Oosterkamp", "given" : "T H", "non-dropping-particle" : "", "parse-names" : false, "suffix" : "" } ], "container-title" : "Ultramicroscopy", "id" : "ITEM-5", "issue" : "0", "issued" : { "date-parts" : [ [ "2014" ] ] }, "page" : "32-36", "title" : "Single molecule binding dynamics measured with atomic force microscopy", "type" : "article-journal", "volume" : "140" }, "uris" : [ "http://www.mendeley.com/documents/?uuid=9860b0d6-53c7-4a79-9a3e-4108522a6a08" ] } ], "mendeley" : { "formattedCitation" : "&lt;sup&gt;58\u201362&lt;/sup&gt;", "plainTextFormattedCitation" : "58\u201362", "previouslyFormattedCitation" : "&lt;sup&gt;58\u201362&lt;/sup&gt;" }, "properties" : { "noteIndex" : 0 }, "schema" : "https://github.com/citation-style-language/schema/raw/master/csl-citation.json" }</w:instrText>
      </w:r>
      <w:r w:rsidR="00B43940" w:rsidRPr="00541955">
        <w:rPr>
          <w:rFonts w:cs="Arial"/>
          <w:color w:val="auto"/>
          <w:shd w:val="clear" w:color="auto" w:fill="FFFFFF"/>
        </w:rPr>
        <w:fldChar w:fldCharType="separate"/>
      </w:r>
      <w:r w:rsidR="00DD1C36" w:rsidRPr="00541955">
        <w:rPr>
          <w:rFonts w:cs="Arial"/>
          <w:noProof/>
          <w:color w:val="auto"/>
          <w:shd w:val="clear" w:color="auto" w:fill="FFFFFF"/>
          <w:vertAlign w:val="superscript"/>
        </w:rPr>
        <w:t>58–62</w:t>
      </w:r>
      <w:r w:rsidR="00B43940" w:rsidRPr="00541955">
        <w:rPr>
          <w:rFonts w:cs="Arial"/>
          <w:color w:val="auto"/>
          <w:shd w:val="clear" w:color="auto" w:fill="FFFFFF"/>
        </w:rPr>
        <w:fldChar w:fldCharType="end"/>
      </w:r>
      <w:r w:rsidR="000D6D37" w:rsidRPr="000331D1">
        <w:rPr>
          <w:rFonts w:cs="Arial"/>
          <w:color w:val="auto"/>
        </w:rPr>
        <w:t xml:space="preserve"> </w:t>
      </w:r>
      <w:r w:rsidR="000331D1" w:rsidRPr="000331D1">
        <w:rPr>
          <w:rFonts w:cs="Arial"/>
          <w:color w:val="auto"/>
        </w:rPr>
        <w:t xml:space="preserve">It is clear that the SUPD curves for both PG and </w:t>
      </w:r>
      <w:r w:rsidR="000331D1" w:rsidRPr="00DB0D7C">
        <w:rPr>
          <w:rFonts w:cs="Arial"/>
          <w:color w:val="auto"/>
        </w:rPr>
        <w:t>HSC6NH2</w:t>
      </w:r>
      <w:r w:rsidR="000331D1">
        <w:rPr>
          <w:rFonts w:cs="Arial"/>
          <w:color w:val="auto"/>
        </w:rPr>
        <w:t xml:space="preserve"> are alike, and can be mapped</w:t>
      </w:r>
      <w:r w:rsidR="002A336B">
        <w:rPr>
          <w:rFonts w:cs="Arial"/>
          <w:color w:val="auto"/>
        </w:rPr>
        <w:t xml:space="preserve"> one onto another</w:t>
      </w:r>
      <w:r w:rsidR="000331D1">
        <w:rPr>
          <w:rFonts w:cs="Arial"/>
          <w:color w:val="auto"/>
        </w:rPr>
        <w:t xml:space="preserve"> by a simple vertical rescaling. </w:t>
      </w:r>
      <w:r w:rsidR="0032514B" w:rsidRPr="004F5851">
        <w:rPr>
          <w:rFonts w:cs="Arial"/>
          <w:color w:val="auto"/>
        </w:rPr>
        <w:t>On the other hand,</w:t>
      </w:r>
      <w:r w:rsidR="000331D1">
        <w:rPr>
          <w:rFonts w:cs="Arial"/>
          <w:color w:val="auto"/>
        </w:rPr>
        <w:t xml:space="preserve"> they are substantially different from the one of crosscheck sample </w:t>
      </w:r>
      <w:r w:rsidR="002A336B">
        <w:rPr>
          <w:rFonts w:cs="Arial"/>
          <w:color w:val="auto"/>
        </w:rPr>
        <w:t>that</w:t>
      </w:r>
      <w:r w:rsidR="000331D1">
        <w:rPr>
          <w:rFonts w:cs="Arial"/>
          <w:color w:val="auto"/>
        </w:rPr>
        <w:t xml:space="preserve"> has </w:t>
      </w:r>
      <w:r w:rsidR="001F0B2A" w:rsidRPr="004F5851">
        <w:rPr>
          <w:rFonts w:cs="Arial"/>
          <w:color w:val="auto"/>
        </w:rPr>
        <w:t>the</w:t>
      </w:r>
      <w:r w:rsidR="001F0B2A">
        <w:rPr>
          <w:rFonts w:cs="Arial"/>
          <w:color w:val="auto"/>
        </w:rPr>
        <w:t xml:space="preserve"> </w:t>
      </w:r>
      <w:r w:rsidR="000331D1">
        <w:rPr>
          <w:rFonts w:cs="Arial"/>
          <w:color w:val="auto"/>
        </w:rPr>
        <w:t xml:space="preserve">same shape but </w:t>
      </w:r>
      <w:r w:rsidR="002A336B">
        <w:rPr>
          <w:rFonts w:cs="Arial"/>
          <w:color w:val="auto"/>
        </w:rPr>
        <w:t>whose</w:t>
      </w:r>
      <w:r w:rsidR="000331D1">
        <w:rPr>
          <w:rFonts w:cs="Arial"/>
          <w:color w:val="auto"/>
        </w:rPr>
        <w:t xml:space="preserve"> peak </w:t>
      </w:r>
      <w:r w:rsidR="002A336B">
        <w:rPr>
          <w:rFonts w:cs="Arial"/>
          <w:color w:val="auto"/>
        </w:rPr>
        <w:t xml:space="preserve">is </w:t>
      </w:r>
      <w:r w:rsidR="000331D1">
        <w:rPr>
          <w:rFonts w:cs="Arial"/>
          <w:color w:val="auto"/>
        </w:rPr>
        <w:t xml:space="preserve">displaced </w:t>
      </w:r>
      <w:r w:rsidR="009208A3" w:rsidRPr="004F5851">
        <w:rPr>
          <w:rFonts w:cs="Arial"/>
          <w:color w:val="auto"/>
        </w:rPr>
        <w:t>at</w:t>
      </w:r>
      <w:r w:rsidR="000331D1">
        <w:rPr>
          <w:rFonts w:cs="Arial"/>
          <w:color w:val="auto"/>
        </w:rPr>
        <w:t xml:space="preserve"> lower force values, and they are </w:t>
      </w:r>
      <w:r w:rsidR="000331D1" w:rsidRPr="00643A06">
        <w:rPr>
          <w:rFonts w:cs="Arial"/>
          <w:color w:val="auto"/>
        </w:rPr>
        <w:t>radically different from the one</w:t>
      </w:r>
      <w:r w:rsidR="00323256" w:rsidRPr="00643A06">
        <w:rPr>
          <w:rFonts w:cs="Arial"/>
          <w:color w:val="auto"/>
        </w:rPr>
        <w:t xml:space="preserve"> of the control sample (bare Au) that does not exhibit </w:t>
      </w:r>
      <w:r w:rsidR="002A336B" w:rsidRPr="00643A06">
        <w:rPr>
          <w:rFonts w:cs="Arial"/>
          <w:color w:val="auto"/>
        </w:rPr>
        <w:t>an apparent skewness</w:t>
      </w:r>
      <w:r w:rsidR="000331D1" w:rsidRPr="00643A06">
        <w:rPr>
          <w:rFonts w:cs="Arial"/>
          <w:color w:val="auto"/>
        </w:rPr>
        <w:t xml:space="preserve">. </w:t>
      </w:r>
      <w:r w:rsidR="009A6C50" w:rsidRPr="00643A06">
        <w:rPr>
          <w:rFonts w:cs="Arial"/>
          <w:color w:val="auto"/>
        </w:rPr>
        <w:t>By l</w:t>
      </w:r>
      <w:r w:rsidR="00DB35F4" w:rsidRPr="00643A06">
        <w:rPr>
          <w:rFonts w:cs="Arial"/>
          <w:color w:val="auto"/>
        </w:rPr>
        <w:t xml:space="preserve">ooking at the </w:t>
      </w:r>
      <w:r w:rsidR="009A6C50" w:rsidRPr="00643A06">
        <w:rPr>
          <w:rFonts w:cs="Arial"/>
          <w:color w:val="auto"/>
        </w:rPr>
        <w:t xml:space="preserve">SUP </w:t>
      </w:r>
      <w:r w:rsidR="00DB35F4" w:rsidRPr="00643A06">
        <w:rPr>
          <w:rFonts w:cs="Arial"/>
          <w:color w:val="auto"/>
        </w:rPr>
        <w:t xml:space="preserve">it is clear that </w:t>
      </w:r>
      <w:r w:rsidR="00573D28" w:rsidRPr="00643A06">
        <w:rPr>
          <w:rFonts w:cs="Arial"/>
          <w:color w:val="auto"/>
        </w:rPr>
        <w:t>anti-IL4/PG/Au</w:t>
      </w:r>
      <w:r w:rsidR="00DB35F4" w:rsidRPr="00643A06">
        <w:rPr>
          <w:rFonts w:cs="Arial"/>
          <w:color w:val="auto"/>
        </w:rPr>
        <w:t xml:space="preserve"> induces </w:t>
      </w:r>
      <w:r w:rsidR="009A6C50" w:rsidRPr="00643A06">
        <w:rPr>
          <w:rFonts w:cs="Arial"/>
          <w:color w:val="auto"/>
        </w:rPr>
        <w:t>a three-</w:t>
      </w:r>
      <w:r w:rsidR="009A6C50" w:rsidRPr="00643A06">
        <w:rPr>
          <w:rFonts w:cs="Arial"/>
          <w:color w:val="auto"/>
        </w:rPr>
        <w:lastRenderedPageBreak/>
        <w:t>times larger</w:t>
      </w:r>
      <w:r w:rsidR="00DB35F4" w:rsidRPr="00643A06">
        <w:rPr>
          <w:rFonts w:cs="Arial"/>
          <w:color w:val="auto"/>
        </w:rPr>
        <w:t xml:space="preserve"> frequency </w:t>
      </w:r>
      <w:r w:rsidR="009A6C50" w:rsidRPr="00643A06">
        <w:rPr>
          <w:rFonts w:cs="Arial"/>
          <w:color w:val="auto"/>
        </w:rPr>
        <w:t>of specific binding events than the sample</w:t>
      </w:r>
      <w:r w:rsidR="00DB35F4" w:rsidRPr="00643A06">
        <w:rPr>
          <w:rFonts w:cs="Arial"/>
          <w:color w:val="auto"/>
        </w:rPr>
        <w:t xml:space="preserve"> </w:t>
      </w:r>
      <w:r w:rsidR="00573D28" w:rsidRPr="00643A06">
        <w:rPr>
          <w:rFonts w:cs="Arial"/>
          <w:color w:val="auto"/>
        </w:rPr>
        <w:t>anti-IL4/HSC6NH2/Au</w:t>
      </w:r>
      <w:r w:rsidR="00DB35F4" w:rsidRPr="00643A06">
        <w:rPr>
          <w:rFonts w:cs="Arial"/>
          <w:color w:val="auto"/>
        </w:rPr>
        <w:t xml:space="preserve"> (see Fig.6f). </w:t>
      </w:r>
      <w:r w:rsidR="009A6C50" w:rsidRPr="00643A06">
        <w:rPr>
          <w:rFonts w:cs="Arial"/>
          <w:color w:val="auto"/>
          <w:shd w:val="clear" w:color="auto" w:fill="FFFFFF"/>
        </w:rPr>
        <w:t>These values</w:t>
      </w:r>
      <w:r w:rsidR="00573D28" w:rsidRPr="00643A06">
        <w:rPr>
          <w:rFonts w:cs="Arial"/>
          <w:color w:val="auto"/>
          <w:shd w:val="clear" w:color="auto" w:fill="FFFFFF"/>
        </w:rPr>
        <w:t xml:space="preserve"> can be </w:t>
      </w:r>
      <w:r w:rsidR="009A6C50" w:rsidRPr="00643A06">
        <w:rPr>
          <w:rFonts w:cs="Arial"/>
          <w:color w:val="auto"/>
          <w:shd w:val="clear" w:color="auto" w:fill="FFFFFF"/>
        </w:rPr>
        <w:t>interpreted as</w:t>
      </w:r>
      <w:r w:rsidR="00573D28" w:rsidRPr="00643A06">
        <w:rPr>
          <w:rFonts w:cs="Arial"/>
          <w:color w:val="auto"/>
          <w:shd w:val="clear" w:color="auto" w:fill="FFFFFF"/>
        </w:rPr>
        <w:t xml:space="preserve"> </w:t>
      </w:r>
      <w:r w:rsidR="009A6C50" w:rsidRPr="00643A06">
        <w:rPr>
          <w:rFonts w:cs="Arial"/>
          <w:color w:val="auto"/>
          <w:shd w:val="clear" w:color="auto" w:fill="FFFFFF"/>
        </w:rPr>
        <w:t>the result of the</w:t>
      </w:r>
      <w:r w:rsidR="00573D28" w:rsidRPr="00643A06">
        <w:rPr>
          <w:rFonts w:cs="Arial"/>
          <w:color w:val="auto"/>
          <w:shd w:val="clear" w:color="auto" w:fill="FFFFFF"/>
        </w:rPr>
        <w:t xml:space="preserve"> effective coverage of functional </w:t>
      </w:r>
      <w:r w:rsidR="009A6C50" w:rsidRPr="00643A06">
        <w:rPr>
          <w:rFonts w:cs="Arial"/>
          <w:color w:val="auto"/>
          <w:shd w:val="clear" w:color="auto" w:fill="FFFFFF"/>
        </w:rPr>
        <w:t xml:space="preserve">Abs on the respective surfaces, </w:t>
      </w:r>
      <w:r w:rsidR="009A6C50" w:rsidRPr="009232B2">
        <w:rPr>
          <w:rFonts w:cs="Arial"/>
          <w:i/>
          <w:color w:val="auto"/>
          <w:shd w:val="clear" w:color="auto" w:fill="FFFFFF"/>
        </w:rPr>
        <w:t>viz.</w:t>
      </w:r>
      <w:r w:rsidR="009A6C50" w:rsidRPr="00643A06">
        <w:rPr>
          <w:rFonts w:cs="Arial"/>
          <w:color w:val="auto"/>
          <w:shd w:val="clear" w:color="auto" w:fill="FFFFFF"/>
        </w:rPr>
        <w:t xml:space="preserve"> PG yields a 30% coverage of available Abs for recognition of IL4, whereas </w:t>
      </w:r>
      <w:r w:rsidR="009A6C50" w:rsidRPr="00643A06">
        <w:rPr>
          <w:rFonts w:cs="Arial"/>
          <w:color w:val="auto"/>
        </w:rPr>
        <w:t xml:space="preserve">HSC6NH2 only 10%. </w:t>
      </w:r>
      <w:r w:rsidR="00573D28" w:rsidRPr="00643A06">
        <w:rPr>
          <w:rFonts w:cs="Arial"/>
          <w:color w:val="auto"/>
          <w:shd w:val="clear" w:color="auto" w:fill="FFFFFF"/>
        </w:rPr>
        <w:t xml:space="preserve">The comparison between the two immobilization strategies has been reproduced with another antibody-antigen pair, </w:t>
      </w:r>
      <w:r w:rsidR="00573D28" w:rsidRPr="008E7827">
        <w:rPr>
          <w:rFonts w:cs="Arial"/>
          <w:i/>
          <w:color w:val="auto"/>
          <w:shd w:val="clear" w:color="auto" w:fill="FFFFFF"/>
        </w:rPr>
        <w:t>viz</w:t>
      </w:r>
      <w:r w:rsidR="00573D28" w:rsidRPr="00643A06">
        <w:rPr>
          <w:rFonts w:cs="Arial"/>
          <w:color w:val="auto"/>
          <w:shd w:val="clear" w:color="auto" w:fill="FFFFFF"/>
        </w:rPr>
        <w:t>. interleukin-6 (IL-6)/anti-IL6 pair, yielding even more marked differences in recog</w:t>
      </w:r>
      <w:r w:rsidR="003B5E61">
        <w:rPr>
          <w:rFonts w:cs="Arial"/>
          <w:color w:val="auto"/>
          <w:shd w:val="clear" w:color="auto" w:fill="FFFFFF"/>
        </w:rPr>
        <w:t>nition probability (see Fig.S</w:t>
      </w:r>
      <w:r w:rsidR="00807094">
        <w:rPr>
          <w:rFonts w:cs="Arial"/>
          <w:color w:val="auto"/>
          <w:shd w:val="clear" w:color="auto" w:fill="FFFFFF"/>
        </w:rPr>
        <w:t>2</w:t>
      </w:r>
      <w:r w:rsidR="003B5E61">
        <w:rPr>
          <w:rFonts w:cs="Arial"/>
          <w:color w:val="auto"/>
          <w:shd w:val="clear" w:color="auto" w:fill="FFFFFF"/>
        </w:rPr>
        <w:t xml:space="preserve"> </w:t>
      </w:r>
      <w:r w:rsidR="00573D28" w:rsidRPr="00643A06">
        <w:rPr>
          <w:rFonts w:cs="Arial"/>
          <w:color w:val="auto"/>
          <w:shd w:val="clear" w:color="auto" w:fill="FFFFFF"/>
        </w:rPr>
        <w:t>Supporting Information).</w:t>
      </w:r>
      <w:r w:rsidR="00643A06" w:rsidRPr="00B03164">
        <w:rPr>
          <w:rFonts w:cs="Arial"/>
          <w:color w:val="auto"/>
          <w:shd w:val="clear" w:color="auto" w:fill="FFFFFF"/>
        </w:rPr>
        <w:t xml:space="preserve"> </w:t>
      </w:r>
      <w:r w:rsidR="00643A06" w:rsidRPr="00B6556D">
        <w:rPr>
          <w:rFonts w:cs="Arial"/>
          <w:color w:val="auto"/>
          <w:shd w:val="clear" w:color="auto" w:fill="FFFFFF"/>
        </w:rPr>
        <w:t xml:space="preserve">Noticeably, </w:t>
      </w:r>
      <w:r w:rsidR="00B6556D" w:rsidRPr="00B6556D">
        <w:rPr>
          <w:rFonts w:cs="Arial"/>
          <w:color w:val="auto"/>
          <w:shd w:val="clear" w:color="auto" w:fill="FFFFFF"/>
        </w:rPr>
        <w:t>the</w:t>
      </w:r>
      <w:r w:rsidR="00B6556D" w:rsidRPr="00B6556D">
        <w:rPr>
          <w:rFonts w:cs="Arial"/>
          <w:color w:val="auto"/>
        </w:rPr>
        <w:t xml:space="preserve"> SUP </w:t>
      </w:r>
      <w:r w:rsidR="00B6556D">
        <w:rPr>
          <w:rFonts w:cs="Arial"/>
          <w:color w:val="auto"/>
        </w:rPr>
        <w:t xml:space="preserve">of </w:t>
      </w:r>
      <w:r w:rsidR="00B6556D" w:rsidRPr="00CC3C7A">
        <w:rPr>
          <w:rFonts w:cs="Arial"/>
          <w:color w:val="auto"/>
        </w:rPr>
        <w:t>HSC6NH2 is comparable to that of crosscheck</w:t>
      </w:r>
      <w:r w:rsidR="00612D30" w:rsidRPr="00CC3C7A">
        <w:rPr>
          <w:rFonts w:cs="Arial"/>
          <w:color w:val="auto"/>
        </w:rPr>
        <w:t xml:space="preserve"> sample</w:t>
      </w:r>
      <w:r w:rsidR="00B6556D" w:rsidRPr="00CC3C7A">
        <w:rPr>
          <w:rFonts w:cs="Arial"/>
          <w:color w:val="auto"/>
        </w:rPr>
        <w:t xml:space="preserve">, although </w:t>
      </w:r>
      <w:r w:rsidR="00612D30" w:rsidRPr="00CC3C7A">
        <w:rPr>
          <w:rFonts w:cs="Arial"/>
          <w:color w:val="auto"/>
        </w:rPr>
        <w:t xml:space="preserve">it </w:t>
      </w:r>
      <w:r w:rsidR="00B6556D" w:rsidRPr="00CC3C7A">
        <w:rPr>
          <w:rFonts w:cs="Arial"/>
          <w:color w:val="auto"/>
        </w:rPr>
        <w:t xml:space="preserve">appears that </w:t>
      </w:r>
      <w:r w:rsidR="00612D30" w:rsidRPr="00CC3C7A">
        <w:rPr>
          <w:rFonts w:cs="Arial"/>
          <w:color w:val="auto"/>
        </w:rPr>
        <w:t>the latter is contributed to events whose force is below</w:t>
      </w:r>
      <w:r w:rsidR="00E653C9" w:rsidRPr="00CC3C7A">
        <w:rPr>
          <w:rFonts w:cs="Arial"/>
          <w:color w:val="auto"/>
        </w:rPr>
        <w:t xml:space="preserve"> 200 pN</w:t>
      </w:r>
      <w:r w:rsidR="00B6556D" w:rsidRPr="00CC3C7A">
        <w:rPr>
          <w:rFonts w:cs="Arial"/>
          <w:color w:val="auto"/>
        </w:rPr>
        <w:t xml:space="preserve">. </w:t>
      </w:r>
      <w:r w:rsidR="00612D30" w:rsidRPr="00CC3C7A">
        <w:rPr>
          <w:rFonts w:cs="Arial"/>
          <w:color w:val="auto"/>
        </w:rPr>
        <w:t>This implies that in the crosscheck sample it is possible to observe single specific recognition events, but not multiple ones, conversely to the other cases.</w:t>
      </w:r>
      <w:r w:rsidR="00692813" w:rsidRPr="00CC3C7A">
        <w:rPr>
          <w:rFonts w:cs="Arial"/>
          <w:color w:val="auto"/>
        </w:rPr>
        <w:t xml:space="preserve"> The distribution related to bare gold show</w:t>
      </w:r>
      <w:r w:rsidR="00CC3C7A" w:rsidRPr="00CC3C7A">
        <w:rPr>
          <w:rFonts w:cs="Arial"/>
          <w:color w:val="auto"/>
        </w:rPr>
        <w:t>s</w:t>
      </w:r>
      <w:r w:rsidR="00692813" w:rsidRPr="00CC3C7A">
        <w:rPr>
          <w:rFonts w:cs="Arial"/>
          <w:color w:val="auto"/>
        </w:rPr>
        <w:t xml:space="preserve"> a different trend, and the </w:t>
      </w:r>
      <w:r w:rsidR="00CC3C7A">
        <w:rPr>
          <w:rFonts w:cs="Arial"/>
          <w:color w:val="auto"/>
        </w:rPr>
        <w:t>SUP</w:t>
      </w:r>
      <w:r w:rsidR="00692813" w:rsidRPr="00CC3C7A">
        <w:rPr>
          <w:rFonts w:cs="Arial"/>
          <w:color w:val="auto"/>
        </w:rPr>
        <w:t xml:space="preserve"> is much lower than all the other distributions. This means that IL4 poorly interact with un</w:t>
      </w:r>
      <w:r w:rsidR="00437CBC" w:rsidRPr="00CC3C7A">
        <w:rPr>
          <w:rFonts w:cs="Arial"/>
          <w:color w:val="auto"/>
        </w:rPr>
        <w:t>-</w:t>
      </w:r>
      <w:r w:rsidR="00692813" w:rsidRPr="00CC3C7A">
        <w:rPr>
          <w:rFonts w:cs="Arial"/>
          <w:color w:val="auto"/>
        </w:rPr>
        <w:t>functionalized Au</w:t>
      </w:r>
      <w:r w:rsidR="00CC3C7A">
        <w:rPr>
          <w:rFonts w:cs="Arial"/>
          <w:color w:val="auto"/>
        </w:rPr>
        <w:t>, as expected.</w:t>
      </w:r>
      <w:r w:rsidR="00692813" w:rsidRPr="0036631E">
        <w:rPr>
          <w:rFonts w:cs="Arial"/>
          <w:color w:val="auto"/>
        </w:rPr>
        <w:t xml:space="preserve"> </w:t>
      </w:r>
    </w:p>
    <w:p w:rsidR="00E007AC" w:rsidRPr="00B40EB2" w:rsidRDefault="00EC006F" w:rsidP="00CC3C7A">
      <w:pPr>
        <w:spacing w:line="480" w:lineRule="auto"/>
        <w:ind w:firstLine="720"/>
        <w:rPr>
          <w:color w:val="auto"/>
        </w:rPr>
      </w:pPr>
      <w:r w:rsidRPr="00B40EB2">
        <w:rPr>
          <w:rFonts w:cs="Arial"/>
          <w:color w:val="auto"/>
          <w:shd w:val="clear" w:color="auto" w:fill="FFFFFF"/>
        </w:rPr>
        <w:t>In order t</w:t>
      </w:r>
      <w:r w:rsidR="00E007AC" w:rsidRPr="00B40EB2">
        <w:rPr>
          <w:rFonts w:cs="Arial"/>
          <w:color w:val="auto"/>
          <w:shd w:val="clear" w:color="auto" w:fill="FFFFFF"/>
        </w:rPr>
        <w:t>o gain insights into the energy landscape of the bound complexes, we carried out experiments at different retraction velocities. According to the Bell-Evans model, the force of a single-energy barrier in the thermally activated regime scales up with the logarithm of the loading rate</w:t>
      </w:r>
      <w:r w:rsidR="00B43940" w:rsidRPr="00B40EB2">
        <w:rPr>
          <w:rFonts w:cs="Arial"/>
          <w:color w:val="auto"/>
          <w:shd w:val="clear" w:color="auto" w:fill="FFFFFF"/>
        </w:rPr>
        <w:fldChar w:fldCharType="begin" w:fldLock="1"/>
      </w:r>
      <w:r w:rsidR="000D48EA">
        <w:rPr>
          <w:rFonts w:cs="Arial"/>
          <w:color w:val="auto"/>
          <w:shd w:val="clear" w:color="auto" w:fill="FFFFFF"/>
        </w:rPr>
        <w:instrText>ADDIN CSL_CITATION { "citationItems" : [ { "id" : "ITEM-1", "itemData" : { "DOI" : "10.1038/16219", "ISBN" : "0028-0836 (Print)\n0028-0836", "PMID" : "9892352", "abstract" : "Atomic force microscopy (AFM) has been used to measure the strength of bonds between biological receptor molecules and their ligands. But for weak noncovalent bonds, a dynamic spectrum of bond strengths is predicted as the loading rate is altered, with the measured strength being governed by the prominent barriers traversed in the energy landscape along the force-driven bond-dissociation pathway. In other words, the pioneering early AFM measurements represent only a single point in a continuous spectrum of bond strengths, because theory predicts that these will depend on the rate at which the load is applied. Here we report the strength spectra for the bonds between streptavidin (or avidin) and biotins-the prototype of receptor-ligand interactions used in earlier AFM studies, and which have been modelled by molecular dynamics. We have probed bond formation over six orders of magnitude in loading rate, and find that the bond survival time diminished from about 1 min to 0.001 s with increasing loading rate over this range. The bond strength, meanwhile, increased from about 5 pN to 170 pN. Thus, although they are among the strongest noncovalent linkages in biology (affinity of 10(13) to 10(15) M(-1)), these bonds in fact appear strong or weak depending on how fast they are loaded. We are also able to relate the activation barriers derived from our strength spectra to the shape of the energy landscape derived from simulations of the biotin-avidin complex.", "author" : [ { "dropping-particle" : "", "family" : "Merkel", "given" : "R", "non-dropping-particle" : "", "parse-names" : false, "suffix" : "" }, { "dropping-particle" : "", "family" : "Nassoy", "given" : "P", "non-dropping-particle" : "", "parse-names" : false, "suffix" : "" }, { "dropping-particle" : "", "family" : "Leung", "given" : "A", "non-dropping-particle" : "", "parse-names" : false, "suffix" : "" }, { "dropping-particle" : "", "family" : "Ritchie", "given" : "K", "non-dropping-particle" : "", "parse-names" : false, "suffix" : "" }, { "dropping-particle" : "", "family" : "Evans", "given" : "E", "non-dropping-particle" : "", "parse-names" : false, "suffix" : "" } ], "container-title" : "Nature", "edition" : "1999/01/19", "id" : "ITEM-1", "issue" : "6714", "issued" : { "date-parts" : [ [ "1999" ] ] }, "page" : "50-53", "title" : "Energy landscapes of receptor-ligand bonds explored with dynamic force spectroscopy", "type" : "article-journal", "volume" : "397" }, "uris" : [ "http://www.mendeley.com/documents/?uuid=7c461f70-2414-4cc2-8598-f25c4342012f" ] } ], "mendeley" : { "formattedCitation" : "&lt;sup&gt;28&lt;/sup&gt;", "plainTextFormattedCitation" : "28", "previouslyFormattedCitation" : "&lt;sup&gt;28&lt;/sup&gt;" }, "properties" : { "noteIndex" : 0 }, "schema" : "https://github.com/citation-style-language/schema/raw/master/csl-citation.json" }</w:instrText>
      </w:r>
      <w:r w:rsidR="00B43940" w:rsidRPr="00B40EB2">
        <w:rPr>
          <w:rFonts w:cs="Arial"/>
          <w:color w:val="auto"/>
          <w:shd w:val="clear" w:color="auto" w:fill="FFFFFF"/>
        </w:rPr>
        <w:fldChar w:fldCharType="separate"/>
      </w:r>
      <w:r w:rsidR="00E007AC" w:rsidRPr="00B40EB2">
        <w:rPr>
          <w:rFonts w:cs="Arial"/>
          <w:noProof/>
          <w:color w:val="auto"/>
          <w:shd w:val="clear" w:color="auto" w:fill="FFFFFF"/>
          <w:vertAlign w:val="superscript"/>
        </w:rPr>
        <w:t>28</w:t>
      </w:r>
      <w:r w:rsidR="00B43940" w:rsidRPr="00B40EB2">
        <w:rPr>
          <w:rFonts w:cs="Arial"/>
          <w:color w:val="auto"/>
          <w:shd w:val="clear" w:color="auto" w:fill="FFFFFF"/>
        </w:rPr>
        <w:fldChar w:fldCharType="end"/>
      </w:r>
      <w:r w:rsidR="00E007AC" w:rsidRPr="00B40EB2">
        <w:rPr>
          <w:rFonts w:cs="Arial"/>
          <w:color w:val="auto"/>
          <w:shd w:val="clear" w:color="auto" w:fill="FFFFFF"/>
        </w:rPr>
        <w:t xml:space="preserve"> (</w:t>
      </w:r>
      <w:r w:rsidRPr="00B40EB2">
        <w:rPr>
          <w:rFonts w:cs="Arial"/>
          <w:color w:val="auto"/>
          <w:shd w:val="clear" w:color="auto" w:fill="FFFFFF"/>
        </w:rPr>
        <w:t>see Supporti</w:t>
      </w:r>
      <w:r w:rsidR="00807094">
        <w:rPr>
          <w:rFonts w:cs="Arial"/>
          <w:color w:val="auto"/>
          <w:shd w:val="clear" w:color="auto" w:fill="FFFFFF"/>
        </w:rPr>
        <w:t>ng Information</w:t>
      </w:r>
      <w:r w:rsidRPr="00B40EB2">
        <w:rPr>
          <w:rFonts w:cs="Arial"/>
          <w:color w:val="auto"/>
          <w:shd w:val="clear" w:color="auto" w:fill="FFFFFF"/>
        </w:rPr>
        <w:t>):</w:t>
      </w:r>
    </w:p>
    <w:p w:rsidR="00E007AC" w:rsidRPr="00B40EB2" w:rsidRDefault="0036631E" w:rsidP="00BF63E8">
      <w:pPr>
        <w:jc w:val="center"/>
      </w:pPr>
      <w:r w:rsidRPr="0036631E">
        <w:rPr>
          <w:position w:val="-34"/>
        </w:rPr>
        <w:object w:dxaOrig="2860" w:dyaOrig="800">
          <v:shape id="_x0000_i1033" type="#_x0000_t75" style="width:143.05pt;height:40.2pt" o:ole="">
            <v:imagedata r:id="rId20" o:title=""/>
          </v:shape>
          <o:OLEObject Type="Embed" ProgID="Equation.3" ShapeID="_x0000_i1033" DrawAspect="Content" ObjectID="_1494322567" r:id="rId21"/>
        </w:object>
      </w:r>
    </w:p>
    <w:p w:rsidR="00E007AC" w:rsidRPr="00B40EB2" w:rsidRDefault="00EC006F" w:rsidP="00E007AC">
      <w:pPr>
        <w:suppressAutoHyphens w:val="0"/>
        <w:autoSpaceDE w:val="0"/>
        <w:spacing w:after="0" w:line="480" w:lineRule="auto"/>
        <w:jc w:val="left"/>
        <w:rPr>
          <w:rFonts w:cs="Arial"/>
          <w:color w:val="auto"/>
          <w:shd w:val="clear" w:color="auto" w:fill="FFFFFF"/>
        </w:rPr>
      </w:pPr>
      <w:bookmarkStart w:id="0" w:name="__DdeLink__1053_420094778"/>
      <w:r w:rsidRPr="00B40EB2">
        <w:rPr>
          <w:rFonts w:cs="Arial"/>
          <w:color w:val="auto"/>
          <w:shd w:val="clear" w:color="auto" w:fill="FFFFFF"/>
        </w:rPr>
        <w:t>H</w:t>
      </w:r>
      <w:r w:rsidR="0036631E">
        <w:rPr>
          <w:rFonts w:cs="Arial"/>
          <w:color w:val="auto"/>
          <w:shd w:val="clear" w:color="auto" w:fill="FFFFFF"/>
        </w:rPr>
        <w:t xml:space="preserve">ere </w:t>
      </w:r>
      <w:r w:rsidR="0036631E" w:rsidRPr="0036631E">
        <w:rPr>
          <w:rFonts w:cs="Arial"/>
          <w:i/>
          <w:color w:val="auto"/>
          <w:shd w:val="clear" w:color="auto" w:fill="FFFFFF"/>
        </w:rPr>
        <w:t>F</w:t>
      </w:r>
      <w:r w:rsidR="0036631E" w:rsidRPr="0036631E">
        <w:rPr>
          <w:rFonts w:cs="Arial"/>
          <w:i/>
          <w:color w:val="auto"/>
          <w:shd w:val="clear" w:color="auto" w:fill="FFFFFF"/>
          <w:vertAlign w:val="subscript"/>
        </w:rPr>
        <w:t>ub</w:t>
      </w:r>
      <w:r w:rsidR="0036631E">
        <w:rPr>
          <w:rFonts w:cs="Arial"/>
          <w:color w:val="auto"/>
          <w:shd w:val="clear" w:color="auto" w:fill="FFFFFF"/>
          <w:vertAlign w:val="subscript"/>
        </w:rPr>
        <w:t xml:space="preserve"> </w:t>
      </w:r>
      <w:r w:rsidR="00E007AC" w:rsidRPr="0036631E">
        <w:rPr>
          <w:rFonts w:cs="Arial"/>
          <w:color w:val="auto"/>
          <w:shd w:val="clear" w:color="auto" w:fill="FFFFFF"/>
        </w:rPr>
        <w:t>is</w:t>
      </w:r>
      <w:r w:rsidR="00E007AC" w:rsidRPr="00B40EB2">
        <w:rPr>
          <w:rFonts w:cs="Arial"/>
          <w:color w:val="auto"/>
          <w:shd w:val="clear" w:color="auto" w:fill="FFFFFF"/>
        </w:rPr>
        <w:t xml:space="preserve"> the most probable unbinding force, </w:t>
      </w:r>
      <w:r w:rsidR="00E007AC" w:rsidRPr="00B40EB2">
        <w:rPr>
          <w:rFonts w:cs="Arial"/>
          <w:i/>
          <w:color w:val="auto"/>
          <w:shd w:val="clear" w:color="auto" w:fill="FFFFFF"/>
        </w:rPr>
        <w:t>ν</w:t>
      </w:r>
      <w:r w:rsidR="00E007AC" w:rsidRPr="00B40EB2">
        <w:rPr>
          <w:rFonts w:cs="Arial"/>
          <w:color w:val="auto"/>
          <w:shd w:val="clear" w:color="auto" w:fill="FFFFFF"/>
        </w:rPr>
        <w:t xml:space="preserve"> the loading rate, </w:t>
      </w:r>
      <w:r w:rsidR="00E007AC" w:rsidRPr="00B40EB2">
        <w:rPr>
          <w:rFonts w:cs="Arial"/>
          <w:i/>
          <w:color w:val="auto"/>
          <w:shd w:val="clear" w:color="auto" w:fill="FFFFFF"/>
        </w:rPr>
        <w:t>x</w:t>
      </w:r>
      <w:r w:rsidR="00E007AC" w:rsidRPr="00B40EB2">
        <w:rPr>
          <w:rFonts w:cs="Arial"/>
          <w:i/>
          <w:color w:val="auto"/>
          <w:shd w:val="clear" w:color="auto" w:fill="FFFFFF"/>
          <w:vertAlign w:val="subscript"/>
        </w:rPr>
        <w:t>β</w:t>
      </w:r>
      <w:r w:rsidR="00E007AC" w:rsidRPr="00B40EB2">
        <w:rPr>
          <w:rFonts w:cs="Arial"/>
          <w:color w:val="auto"/>
          <w:shd w:val="clear" w:color="auto" w:fill="FFFFFF"/>
          <w:vertAlign w:val="subscript"/>
        </w:rPr>
        <w:t xml:space="preserve"> </w:t>
      </w:r>
      <w:r w:rsidR="00E007AC" w:rsidRPr="00B40EB2">
        <w:rPr>
          <w:rFonts w:cs="Arial"/>
          <w:color w:val="auto"/>
          <w:shd w:val="clear" w:color="auto" w:fill="FFFFFF"/>
        </w:rPr>
        <w:t xml:space="preserve">the position of the energy barrier along the reaction coordinate, </w:t>
      </w:r>
      <w:r w:rsidR="00E007AC" w:rsidRPr="00B40EB2">
        <w:rPr>
          <w:rFonts w:cs="Arial"/>
          <w:i/>
          <w:color w:val="auto"/>
          <w:shd w:val="clear" w:color="auto" w:fill="FFFFFF"/>
        </w:rPr>
        <w:t>k</w:t>
      </w:r>
      <w:r w:rsidR="00E007AC" w:rsidRPr="00B40EB2">
        <w:rPr>
          <w:rFonts w:cs="Arial"/>
          <w:i/>
          <w:color w:val="auto"/>
          <w:shd w:val="clear" w:color="auto" w:fill="FFFFFF"/>
          <w:vertAlign w:val="subscript"/>
        </w:rPr>
        <w:t>off</w:t>
      </w:r>
      <w:r w:rsidR="00E007AC" w:rsidRPr="00B40EB2">
        <w:rPr>
          <w:rFonts w:cs="Arial"/>
          <w:color w:val="auto"/>
          <w:shd w:val="clear" w:color="auto" w:fill="FFFFFF"/>
        </w:rPr>
        <w:t xml:space="preserve"> is the dissociation constant at zero force and </w:t>
      </w:r>
      <w:r w:rsidR="00E007AC" w:rsidRPr="00B40EB2">
        <w:rPr>
          <w:rFonts w:cs="Arial"/>
          <w:i/>
          <w:color w:val="auto"/>
          <w:shd w:val="clear" w:color="auto" w:fill="FFFFFF"/>
        </w:rPr>
        <w:t>k</w:t>
      </w:r>
      <w:r w:rsidR="00E007AC" w:rsidRPr="00B40EB2">
        <w:rPr>
          <w:rFonts w:cs="Arial"/>
          <w:i/>
          <w:color w:val="auto"/>
          <w:shd w:val="clear" w:color="auto" w:fill="FFFFFF"/>
          <w:vertAlign w:val="subscript"/>
        </w:rPr>
        <w:t>B</w:t>
      </w:r>
      <w:r w:rsidR="00E007AC" w:rsidRPr="00B40EB2">
        <w:rPr>
          <w:rFonts w:cs="Arial"/>
          <w:i/>
          <w:color w:val="auto"/>
          <w:shd w:val="clear" w:color="auto" w:fill="FFFFFF"/>
        </w:rPr>
        <w:t>T</w:t>
      </w:r>
      <w:r w:rsidR="00E007AC" w:rsidRPr="00B40EB2">
        <w:rPr>
          <w:rFonts w:cs="Arial"/>
          <w:color w:val="auto"/>
          <w:shd w:val="clear" w:color="auto" w:fill="FFFFFF"/>
        </w:rPr>
        <w:t xml:space="preserve"> is the thermal energy.</w:t>
      </w:r>
    </w:p>
    <w:p w:rsidR="00E007AC" w:rsidRPr="00B40EB2" w:rsidRDefault="00E007AC" w:rsidP="00E007AC">
      <w:pPr>
        <w:spacing w:line="480" w:lineRule="auto"/>
        <w:rPr>
          <w:rFonts w:cs="Arial"/>
          <w:color w:val="auto"/>
          <w:shd w:val="clear" w:color="auto" w:fill="FFFFFF"/>
        </w:rPr>
      </w:pPr>
      <w:r w:rsidRPr="00B40EB2">
        <w:rPr>
          <w:rFonts w:cs="Arial"/>
          <w:color w:val="auto"/>
          <w:shd w:val="clear" w:color="auto" w:fill="FFFFFF"/>
        </w:rPr>
        <w:t>The associated values for the Bell-Evans model parameters</w:t>
      </w:r>
      <w:bookmarkEnd w:id="0"/>
      <w:r w:rsidRPr="00B40EB2">
        <w:rPr>
          <w:rFonts w:cs="Arial"/>
          <w:color w:val="auto"/>
          <w:shd w:val="clear" w:color="auto" w:fill="FFFFFF"/>
        </w:rPr>
        <w:t xml:space="preserve"> such as the reaction length </w:t>
      </w:r>
      <w:r w:rsidRPr="00B40EB2">
        <w:rPr>
          <w:rFonts w:cs="Arial"/>
          <w:i/>
          <w:color w:val="auto"/>
          <w:shd w:val="clear" w:color="auto" w:fill="FFFFFF"/>
        </w:rPr>
        <w:t>x</w:t>
      </w:r>
      <w:r w:rsidRPr="00B40EB2">
        <w:rPr>
          <w:rFonts w:ascii="DejaVu Sans" w:hAnsi="DejaVu Sans" w:cs="DejaVu Sans"/>
          <w:i/>
          <w:color w:val="auto"/>
          <w:shd w:val="clear" w:color="auto" w:fill="FFFFFF"/>
          <w:vertAlign w:val="subscript"/>
        </w:rPr>
        <w:t>β</w:t>
      </w:r>
      <w:r w:rsidRPr="00B40EB2">
        <w:rPr>
          <w:rFonts w:cs="Arial"/>
          <w:color w:val="auto"/>
          <w:shd w:val="clear" w:color="auto" w:fill="FFFFFF"/>
        </w:rPr>
        <w:t xml:space="preserve"> and the lifetime of the complex </w:t>
      </w:r>
      <w:r w:rsidRPr="00B40EB2">
        <w:rPr>
          <w:rFonts w:ascii="DejaVu Sans" w:hAnsi="DejaVu Sans" w:cs="DejaVu Sans"/>
          <w:i/>
          <w:color w:val="auto"/>
          <w:shd w:val="clear" w:color="auto" w:fill="FFFFFF"/>
        </w:rPr>
        <w:t>τ</w:t>
      </w:r>
      <w:r w:rsidR="00EC006F" w:rsidRPr="00B40EB2">
        <w:rPr>
          <w:rFonts w:ascii="DejaVu Sans" w:hAnsi="DejaVu Sans" w:cs="DejaVu Sans"/>
          <w:i/>
          <w:color w:val="auto"/>
          <w:shd w:val="clear" w:color="auto" w:fill="FFFFFF"/>
        </w:rPr>
        <w:t>=1/</w:t>
      </w:r>
      <w:r w:rsidRPr="00B40EB2">
        <w:rPr>
          <w:rFonts w:ascii="DejaVu Sans" w:hAnsi="DejaVu Sans" w:cs="DejaVu Sans"/>
          <w:i/>
          <w:color w:val="auto"/>
          <w:shd w:val="clear" w:color="auto" w:fill="FFFFFF"/>
        </w:rPr>
        <w:t>k</w:t>
      </w:r>
      <w:r w:rsidRPr="00B40EB2">
        <w:rPr>
          <w:rFonts w:ascii="DejaVu Sans" w:hAnsi="DejaVu Sans" w:cs="DejaVu Sans"/>
          <w:i/>
          <w:color w:val="auto"/>
          <w:shd w:val="clear" w:color="auto" w:fill="FFFFFF"/>
          <w:vertAlign w:val="subscript"/>
        </w:rPr>
        <w:t>off</w:t>
      </w:r>
      <w:r w:rsidR="004E745F">
        <w:rPr>
          <w:rFonts w:cs="Arial"/>
          <w:color w:val="auto"/>
          <w:shd w:val="clear" w:color="auto" w:fill="FFFFFF"/>
        </w:rPr>
        <w:t xml:space="preserve"> are reported in Table </w:t>
      </w:r>
      <w:r w:rsidR="00B6216F">
        <w:rPr>
          <w:rFonts w:cs="Arial"/>
          <w:color w:val="auto"/>
          <w:shd w:val="clear" w:color="auto" w:fill="FFFFFF"/>
        </w:rPr>
        <w:t>1</w:t>
      </w:r>
      <w:r w:rsidRPr="00B40EB2">
        <w:rPr>
          <w:rFonts w:cs="Arial"/>
          <w:color w:val="auto"/>
          <w:shd w:val="clear" w:color="auto" w:fill="FFFFFF"/>
        </w:rPr>
        <w:t xml:space="preserve">. The value of the </w:t>
      </w:r>
      <w:r w:rsidRPr="00B40EB2">
        <w:rPr>
          <w:rFonts w:cs="Arial"/>
          <w:i/>
          <w:color w:val="auto"/>
          <w:shd w:val="clear" w:color="auto" w:fill="FFFFFF"/>
        </w:rPr>
        <w:t>k</w:t>
      </w:r>
      <w:r w:rsidRPr="00B40EB2">
        <w:rPr>
          <w:rFonts w:cs="Arial"/>
          <w:i/>
          <w:color w:val="auto"/>
          <w:shd w:val="clear" w:color="auto" w:fill="FFFFFF"/>
          <w:vertAlign w:val="subscript"/>
        </w:rPr>
        <w:t>off</w:t>
      </w:r>
      <w:r w:rsidRPr="00B40EB2">
        <w:rPr>
          <w:rFonts w:cs="Arial"/>
          <w:color w:val="auto"/>
          <w:shd w:val="clear" w:color="auto" w:fill="FFFFFF"/>
        </w:rPr>
        <w:t xml:space="preserve"> =4*10</w:t>
      </w:r>
      <w:r w:rsidRPr="00B40EB2">
        <w:rPr>
          <w:rFonts w:cs="Arial"/>
          <w:color w:val="auto"/>
          <w:shd w:val="clear" w:color="auto" w:fill="FFFFFF"/>
          <w:vertAlign w:val="superscript"/>
        </w:rPr>
        <w:t>-3</w:t>
      </w:r>
      <w:r w:rsidRPr="00186154">
        <w:rPr>
          <w:rFonts w:cs="Arial"/>
          <w:color w:val="auto"/>
          <w:shd w:val="clear" w:color="auto" w:fill="FFFFFF"/>
        </w:rPr>
        <w:t>s</w:t>
      </w:r>
      <w:r w:rsidRPr="00B40EB2">
        <w:rPr>
          <w:rFonts w:cs="Arial"/>
          <w:color w:val="auto"/>
          <w:shd w:val="clear" w:color="auto" w:fill="FFFFFF"/>
          <w:vertAlign w:val="superscript"/>
        </w:rPr>
        <w:t>-1</w:t>
      </w:r>
      <w:r w:rsidRPr="00B40EB2">
        <w:rPr>
          <w:rFonts w:cs="Arial"/>
          <w:color w:val="auto"/>
          <w:shd w:val="clear" w:color="auto" w:fill="FFFFFF"/>
        </w:rPr>
        <w:t xml:space="preserve">, </w:t>
      </w:r>
      <w:r w:rsidRPr="00B40EB2">
        <w:rPr>
          <w:rFonts w:cs="Arial"/>
          <w:color w:val="auto"/>
          <w:shd w:val="clear" w:color="auto" w:fill="FFFFFF"/>
        </w:rPr>
        <w:lastRenderedPageBreak/>
        <w:t>correspond</w:t>
      </w:r>
      <w:r w:rsidR="00EC006F" w:rsidRPr="00B40EB2">
        <w:rPr>
          <w:rFonts w:cs="Arial"/>
          <w:color w:val="auto"/>
          <w:shd w:val="clear" w:color="auto" w:fill="FFFFFF"/>
        </w:rPr>
        <w:t>ing</w:t>
      </w:r>
      <w:r w:rsidRPr="00B40EB2">
        <w:rPr>
          <w:rFonts w:cs="Arial"/>
          <w:color w:val="auto"/>
          <w:shd w:val="clear" w:color="auto" w:fill="FFFFFF"/>
        </w:rPr>
        <w:t xml:space="preserve"> to</w:t>
      </w:r>
      <w:r w:rsidRPr="00B40EB2">
        <w:rPr>
          <w:rFonts w:ascii="DejaVu Sans" w:hAnsi="DejaVu Sans" w:cs="DejaVu Sans"/>
          <w:i/>
          <w:color w:val="auto"/>
          <w:shd w:val="clear" w:color="auto" w:fill="FFFFFF"/>
        </w:rPr>
        <w:t xml:space="preserve"> τ</w:t>
      </w:r>
      <w:r w:rsidRPr="00B40EB2">
        <w:rPr>
          <w:rFonts w:cs="Arial"/>
          <w:color w:val="auto"/>
          <w:shd w:val="clear" w:color="auto" w:fill="FFFFFF"/>
        </w:rPr>
        <w:t>=206</w:t>
      </w:r>
      <w:r w:rsidRPr="00186154">
        <w:rPr>
          <w:rFonts w:cs="Arial"/>
          <w:color w:val="auto"/>
          <w:shd w:val="clear" w:color="auto" w:fill="FFFFFF"/>
        </w:rPr>
        <w:t>s</w:t>
      </w:r>
      <w:r w:rsidRPr="00B40EB2">
        <w:rPr>
          <w:rFonts w:cs="Arial"/>
          <w:color w:val="auto"/>
          <w:shd w:val="clear" w:color="auto" w:fill="FFFFFF"/>
        </w:rPr>
        <w:t xml:space="preserve"> for PG-based functionalization, is in good agreement with the values observed in literature for specific antigen-antibody pairing characterized by single molecule force spectroscopy.</w:t>
      </w:r>
      <w:r w:rsidR="00B43940" w:rsidRPr="00E51451">
        <w:rPr>
          <w:rFonts w:cs="Arial"/>
          <w:color w:val="auto"/>
          <w:shd w:val="clear" w:color="auto" w:fill="FFFFFF"/>
        </w:rPr>
        <w:fldChar w:fldCharType="begin" w:fldLock="1"/>
      </w:r>
      <w:r w:rsidR="00DD1C36" w:rsidRPr="00E51451">
        <w:rPr>
          <w:rFonts w:cs="Arial"/>
          <w:color w:val="auto"/>
          <w:shd w:val="clear" w:color="auto" w:fill="FFFFFF"/>
        </w:rPr>
        <w:instrText>ADDIN CSL_CITATION { "citationItems" : [ { "id" : "ITEM-1", "itemData" : { "DOI" : "10.1073/pnas.97.18.9972", "abstract" : "Point mutants of three unrelated antifluorescein antibodies were constructed to obtain nine different single-chain Fv fragments, whose on-rates, off-rates, and equilibrium binding affinities were determined in solution. Additionally, activation energies for unbinding were estimated from the temperature dependence of the off-rate in solution. Loading rate-dependent unbinding forces were determined for single molecules by atomic force microscopy, which extrapolated at zero force to a value close to the off-rate measured in solution, without any indication for multiple transition states. The measured unbinding forces of all nine mutants correlated well with the off-rate in solution, but not with the temperature dependence of the reaction, indicating that the same transition state must be crossed in spontaneous and forced unbinding and that the unbinding path under load cannot be too different from the one at zero force. The distance of the transition state from the ground state along the unbinding pathway is directly proportional to the barrier height, regardless of the details of the binding site, which most likely reflects the elasticity of the protein in the unbinding process. Atomic force microscopy thus can be a valuable tool for the characterization of solution properties of protein-ligand systems at the single molecule level, predicting relative off-rates, potentially of great value for combinatorial chemistry and biology.", "author" : [ { "dropping-particle" : "", "family" : "Schwesinger", "given" : "Falk", "non-dropping-particle" : "", "parse-names" : false, "suffix" : "" }, { "dropping-particle" : "", "family" : "Ros", "given" : "Robert", "non-dropping-particle" : "", "parse-names" : false, "suffix" : "" }, { "dropping-particle" : "", "family" : "Strunz", "given" : "Torsten", "non-dropping-particle" : "", "parse-names" : false, "suffix" : "" }, { "dropping-particle" : "", "family" : "Anselmetti", "given" : "Dario", "non-dropping-particle" : "", "parse-names" : false, "suffix" : "" }, { "dropping-particle" : "", "family" : "G\u00fcntherodt", "given" : "Hans-Joachim", "non-dropping-particle" : "", "parse-names" : false, "suffix" : "" }, { "dropping-particle" : "", "family" : "Honegger", "given" : "Annemarie", "non-dropping-particle" : "", "parse-names" : false, "suffix" : "" }, { "dropping-particle" : "", "family" : "Jermutus", "given" : "Lutz", "non-dropping-particle" : "", "parse-names" : false, "suffix" : "" }, { "dropping-particle" : "", "family" : "Tiefenauer", "given" : "Louis", "non-dropping-particle" : "", "parse-names" : false, "suffix" : "" }, { "dropping-particle" : "", "family" : "Pl\u00fcckthun", "given" : "Andreas", "non-dropping-particle" : "", "parse-names" : false, "suffix" : "" } ], "container-title" : "Proceedings of the National Academy of Sciences", "id" : "ITEM-1", "issue" : "18", "issued" : { "date-parts" : [ [ "2000" ] ] }, "page" : "9972-9977", "title" : "Unbinding forces of single antibody-antigen complexes correlate with their thermal dissociation rates", "type" : "article-journal", "volume" : "97" }, "uris" : [ "http://www.mendeley.com/documents/?uuid=bd679ceb-e9b9-4449-b1be-3811d781fac9" ] }, { "id" : "ITEM-2", "itemData" : { "DOI" : "10.1039/b811426a", "ISBN" : "0306-0012", "PMID" : "20111790", "abstract" : "Atomic force spectroscopy (AFS) is one of the most promising and powerful tools to get information on biorecognition processes at single molecule resolution. AFS allows to measure forces acting between biomolecules undergoing biorecognition process with a picoNewton sensitivity in near-physiological conditions and without any labelling. The capability of AFS to provide detailed information about the kinetics and thermodynamics of a single pair of interacting biomolecules, besides complementing traditional biochemical approaches, offers the possibility to elucidate non-conventional aspects of biorecognition processes, such as rare events, transient phenomena, conformational changes and molecular heterogeneity. Despite its enormous capabilities and potentialities, AFS as applied to biomolecular interactions, has provided some ambiguous and controversial results in different experimental contexts. The present critical review describes, after an in-depth introduction to AFS and to the most used experimental and data analysis procedures, the more recent and rewarding ideas and advancements to overcome the main critical aspects faced in the investigation of biorecognition processes. Possible developments of AFS in applicative fields are briefly addressed (150 references).", "author" : [ { "dropping-particle" : "", "family" : "Bizzarri", "given" : "A R", "non-dropping-particle" : "", "parse-names" : false, "suffix" : "" }, { "dropping-particle" : "", "family" : "Cannistraro", "given" : "S", "non-dropping-particle" : "", "parse-names" : false, "suffix" : "" } ], "container-title" : "Chem Soc Rev", "edition" : "2010/01/30", "id" : "ITEM-2", "issue" : "2", "issued" : { "date-parts" : [ [ "2010" ] ] }, "page" : "734-749", "title" : "The application of atomic force spectroscopy to the study of biological complexes undergoing a biorecognition process", "type" : "article-journal", "volume" : "39" }, "uris" : [ "http://www.mendeley.com/documents/?uuid=5fa95f51-2f6d-4bda-bf15-2a7b68463dc9" ] } ], "mendeley" : { "formattedCitation" : "&lt;sup&gt;58,63&lt;/sup&gt;", "plainTextFormattedCitation" : "58,63", "previouslyFormattedCitation" : "&lt;sup&gt;58,63&lt;/sup&gt;" }, "properties" : { "noteIndex" : 0 }, "schema" : "https://github.com/citation-style-language/schema/raw/master/csl-citation.json" }</w:instrText>
      </w:r>
      <w:r w:rsidR="00B43940" w:rsidRPr="00E51451">
        <w:rPr>
          <w:rFonts w:cs="Arial"/>
          <w:color w:val="auto"/>
          <w:shd w:val="clear" w:color="auto" w:fill="FFFFFF"/>
        </w:rPr>
        <w:fldChar w:fldCharType="separate"/>
      </w:r>
      <w:r w:rsidR="00DD1C36" w:rsidRPr="00E51451">
        <w:rPr>
          <w:rFonts w:cs="Arial"/>
          <w:noProof/>
          <w:color w:val="auto"/>
          <w:shd w:val="clear" w:color="auto" w:fill="FFFFFF"/>
          <w:vertAlign w:val="superscript"/>
        </w:rPr>
        <w:t>58,63</w:t>
      </w:r>
      <w:r w:rsidR="00B43940" w:rsidRPr="00E51451">
        <w:rPr>
          <w:rFonts w:cs="Arial"/>
          <w:color w:val="auto"/>
          <w:shd w:val="clear" w:color="auto" w:fill="FFFFFF"/>
        </w:rPr>
        <w:fldChar w:fldCharType="end"/>
      </w:r>
      <w:r w:rsidRPr="00B40EB2">
        <w:rPr>
          <w:rFonts w:cs="Arial"/>
          <w:color w:val="auto"/>
          <w:shd w:val="clear" w:color="auto" w:fill="FFFFFF"/>
        </w:rPr>
        <w:t xml:space="preserve"> For HSC6NH2-functionalization, we obtain </w:t>
      </w:r>
      <w:r w:rsidRPr="00B40EB2">
        <w:rPr>
          <w:rFonts w:cs="Arial"/>
          <w:i/>
          <w:color w:val="auto"/>
          <w:shd w:val="clear" w:color="auto" w:fill="FFFFFF"/>
        </w:rPr>
        <w:t>k</w:t>
      </w:r>
      <w:r w:rsidRPr="00B40EB2">
        <w:rPr>
          <w:rFonts w:cs="Arial"/>
          <w:i/>
          <w:color w:val="auto"/>
          <w:shd w:val="clear" w:color="auto" w:fill="FFFFFF"/>
          <w:vertAlign w:val="subscript"/>
        </w:rPr>
        <w:t>off</w:t>
      </w:r>
      <w:r w:rsidR="00186154">
        <w:rPr>
          <w:rFonts w:cs="Arial"/>
          <w:color w:val="auto"/>
          <w:shd w:val="clear" w:color="auto" w:fill="FFFFFF"/>
        </w:rPr>
        <w:t xml:space="preserve"> =0.209</w:t>
      </w:r>
      <w:r w:rsidRPr="00B40EB2">
        <w:rPr>
          <w:rFonts w:cs="Arial"/>
          <w:color w:val="auto"/>
          <w:shd w:val="clear" w:color="auto" w:fill="FFFFFF"/>
        </w:rPr>
        <w:t>s</w:t>
      </w:r>
      <w:r w:rsidRPr="00B40EB2">
        <w:rPr>
          <w:rFonts w:cs="Arial"/>
          <w:color w:val="auto"/>
          <w:shd w:val="clear" w:color="auto" w:fill="FFFFFF"/>
          <w:vertAlign w:val="superscript"/>
        </w:rPr>
        <w:t>-1</w:t>
      </w:r>
      <w:r w:rsidRPr="00B40EB2">
        <w:rPr>
          <w:rFonts w:cs="Arial"/>
          <w:color w:val="auto"/>
          <w:shd w:val="clear" w:color="auto" w:fill="FFFFFF"/>
        </w:rPr>
        <w:t xml:space="preserve">, corresponding to a lifetime </w:t>
      </w:r>
      <w:r w:rsidRPr="00B40EB2">
        <w:rPr>
          <w:rFonts w:ascii="DejaVu Sans" w:hAnsi="DejaVu Sans" w:cs="DejaVu Sans"/>
          <w:i/>
          <w:color w:val="auto"/>
          <w:shd w:val="clear" w:color="auto" w:fill="FFFFFF"/>
        </w:rPr>
        <w:t>τ</w:t>
      </w:r>
      <w:r w:rsidR="00EC006F" w:rsidRPr="00B40EB2">
        <w:rPr>
          <w:rFonts w:cs="Arial"/>
          <w:color w:val="auto"/>
          <w:shd w:val="clear" w:color="auto" w:fill="FFFFFF"/>
        </w:rPr>
        <w:t>=</w:t>
      </w:r>
      <w:r w:rsidR="003D7418">
        <w:rPr>
          <w:rFonts w:cs="Arial"/>
          <w:color w:val="auto"/>
          <w:shd w:val="clear" w:color="auto" w:fill="FFFFFF"/>
        </w:rPr>
        <w:t>5</w:t>
      </w:r>
      <w:r w:rsidRPr="00B40EB2">
        <w:rPr>
          <w:rFonts w:cs="Arial"/>
          <w:color w:val="auto"/>
          <w:shd w:val="clear" w:color="auto" w:fill="FFFFFF"/>
        </w:rPr>
        <w:t>s. The</w:t>
      </w:r>
      <w:r w:rsidR="00EC006F" w:rsidRPr="00B40EB2">
        <w:rPr>
          <w:rFonts w:cs="Arial"/>
          <w:color w:val="auto"/>
          <w:shd w:val="clear" w:color="auto" w:fill="FFFFFF"/>
        </w:rPr>
        <w:t xml:space="preserve"> almost</w:t>
      </w:r>
      <w:r w:rsidRPr="00B40EB2">
        <w:rPr>
          <w:rFonts w:cs="Arial"/>
          <w:color w:val="auto"/>
          <w:shd w:val="clear" w:color="auto" w:fill="FFFFFF"/>
        </w:rPr>
        <w:t xml:space="preserve"> two orders of magnitude </w:t>
      </w:r>
      <w:r w:rsidR="00EC006F" w:rsidRPr="00B40EB2">
        <w:rPr>
          <w:rFonts w:cs="Arial"/>
          <w:color w:val="auto"/>
          <w:shd w:val="clear" w:color="auto" w:fill="FFFFFF"/>
        </w:rPr>
        <w:t>ratio of</w:t>
      </w:r>
      <w:r w:rsidRPr="00B40EB2">
        <w:rPr>
          <w:rFonts w:cs="Arial"/>
          <w:color w:val="auto"/>
          <w:shd w:val="clear" w:color="auto" w:fill="FFFFFF"/>
        </w:rPr>
        <w:t xml:space="preserve"> the </w:t>
      </w:r>
      <w:r w:rsidRPr="00B40EB2">
        <w:rPr>
          <w:rFonts w:cs="Arial"/>
          <w:i/>
          <w:color w:val="auto"/>
          <w:shd w:val="clear" w:color="auto" w:fill="FFFFFF"/>
        </w:rPr>
        <w:t>k</w:t>
      </w:r>
      <w:r w:rsidRPr="00B40EB2">
        <w:rPr>
          <w:rFonts w:cs="Arial"/>
          <w:i/>
          <w:color w:val="auto"/>
          <w:shd w:val="clear" w:color="auto" w:fill="FFFFFF"/>
          <w:vertAlign w:val="subscript"/>
        </w:rPr>
        <w:t>off</w:t>
      </w:r>
      <w:r w:rsidRPr="00B40EB2">
        <w:rPr>
          <w:rFonts w:cs="Arial"/>
          <w:color w:val="auto"/>
          <w:shd w:val="clear" w:color="auto" w:fill="FFFFFF"/>
        </w:rPr>
        <w:t xml:space="preserve"> indicates that the antigen fits more </w:t>
      </w:r>
      <w:r w:rsidR="003B5E61">
        <w:rPr>
          <w:rFonts w:cs="Arial"/>
          <w:color w:val="auto"/>
          <w:shd w:val="clear" w:color="auto" w:fill="FFFFFF"/>
        </w:rPr>
        <w:t>steadily</w:t>
      </w:r>
      <w:r w:rsidRPr="00B40EB2">
        <w:rPr>
          <w:rFonts w:cs="Arial"/>
          <w:color w:val="auto"/>
          <w:shd w:val="clear" w:color="auto" w:fill="FFFFFF"/>
        </w:rPr>
        <w:t xml:space="preserve"> the antibody when the lat</w:t>
      </w:r>
      <w:r w:rsidR="003238FE" w:rsidRPr="00B40EB2">
        <w:rPr>
          <w:rFonts w:cs="Arial"/>
          <w:color w:val="auto"/>
          <w:shd w:val="clear" w:color="auto" w:fill="FFFFFF"/>
        </w:rPr>
        <w:t>t</w:t>
      </w:r>
      <w:r w:rsidRPr="00B40EB2">
        <w:rPr>
          <w:rFonts w:cs="Arial"/>
          <w:color w:val="auto"/>
          <w:shd w:val="clear" w:color="auto" w:fill="FFFFFF"/>
        </w:rPr>
        <w:t>er is immobilized onto the PG substrate, as compared to the HSC6NH2-functionalization.</w:t>
      </w:r>
      <w:r w:rsidR="00B43940" w:rsidRPr="00E51451">
        <w:rPr>
          <w:rFonts w:cs="Arial"/>
          <w:color w:val="auto"/>
          <w:shd w:val="clear" w:color="auto" w:fill="FFFFFF"/>
        </w:rPr>
        <w:fldChar w:fldCharType="begin" w:fldLock="1"/>
      </w:r>
      <w:r w:rsidR="00DD1C36" w:rsidRPr="00E51451">
        <w:rPr>
          <w:rFonts w:cs="Arial"/>
          <w:color w:val="auto"/>
          <w:shd w:val="clear" w:color="auto" w:fill="FFFFFF"/>
        </w:rPr>
        <w:instrText>ADDIN CSL_CITATION { "citationItems" : [ { "id" : "ITEM-1", "itemData" : { "author" : [ { "dropping-particle" : "", "family" : "Bonanni", "given" : "B", "non-dropping-particle" : "", "parse-names" : false, "suffix" : "" }, { "dropping-particle" : "", "family" : "Bizzarri", "given" : "A R", "non-dropping-particle" : "", "parse-names" : false, "suffix" : "" }, { "dropping-particle" : "", "family" : "Cannistraro", "given" : "S", "non-dropping-particle" : "", "parse-names" : false, "suffix" : "" } ], "container-title" : "Journal of Physical Chemistry B", "id" : "ITEM-1", "issue" : "111", "issued" : { "date-parts" : [ [ "2006" ] ] }, "page" : "14574-14580", "title" : "Optimized Biorecognition of Cytochrome c 551 and Azurin Immobilized on Thiol-Terminated Monolayers Assembled on Au ( 111 ) Substrates", "type" : "article-journal", "volume" : "551" }, "uris" : [ "http://www.mendeley.com/documents/?uuid=ab26d323-858a-4240-b17e-5ed4017bd4dd" ] }, { "id" : "ITEM-2", "itemData" : { "DOI" : "10.1529/biophysj.105.064097", "author" : [ { "dropping-particle" : "", "family" : "Bonanni", "given" : "B", "non-dropping-particle" : "", "parse-names" : false, "suffix" : "" }, { "dropping-particle" : "", "family" : "Kamruzzahan", "given" : "A S M", "non-dropping-particle" : "", "parse-names" : false, "suffix" : "" }, { "dropping-particle" : "", "family" : "Bizzarri", "given" : "A R", "non-dropping-particle" : "", "parse-names" : false, "suffix" : "" }, { "dropping-particle" : "", "family" : "Rankl", "given" : "C", "non-dropping-particle" : "", "parse-names" : false, "suffix" : "" }, { "dropping-particle" : "", "family" : "Gruber", "given" : "H J", "non-dropping-particle" : "", "parse-names" : false, "suffix" : "" }, { "dropping-particle" : "", "family" : "Hinterdorfer", "given" : "P", "non-dropping-particle" : "", "parse-names" : false, "suffix" : "" } ], "container-title" : "Biophysical Journal", "id" : "ITEM-2", "issued" : { "date-parts" : [ [ "2005" ] ] }, "page" : "2783-2791", "title" : "Single Molecule Recognition between Cytochrome C 551 and Gold-Immobilized Azurin by Force Spectroscopy", "type" : "article-journal", "volume" : "89" }, "uris" : [ "http://www.mendeley.com/documents/?uuid=2f7f4a37-8a0f-4968-adb4-fa4426e7ea3b" ] } ], "mendeley" : { "formattedCitation" : "&lt;sup&gt;64,65&lt;/sup&gt;", "plainTextFormattedCitation" : "64,65", "previouslyFormattedCitation" : "&lt;sup&gt;64,65&lt;/sup&gt;" }, "properties" : { "noteIndex" : 0 }, "schema" : "https://github.com/citation-style-language/schema/raw/master/csl-citation.json" }</w:instrText>
      </w:r>
      <w:r w:rsidR="00B43940" w:rsidRPr="00E51451">
        <w:rPr>
          <w:rFonts w:cs="Arial"/>
          <w:color w:val="auto"/>
          <w:shd w:val="clear" w:color="auto" w:fill="FFFFFF"/>
        </w:rPr>
        <w:fldChar w:fldCharType="separate"/>
      </w:r>
      <w:r w:rsidR="00DD1C36" w:rsidRPr="00E51451">
        <w:rPr>
          <w:rFonts w:cs="Arial"/>
          <w:noProof/>
          <w:color w:val="auto"/>
          <w:shd w:val="clear" w:color="auto" w:fill="FFFFFF"/>
          <w:vertAlign w:val="superscript"/>
        </w:rPr>
        <w:t>64,65</w:t>
      </w:r>
      <w:r w:rsidR="00B43940" w:rsidRPr="00E51451">
        <w:rPr>
          <w:rFonts w:cs="Arial"/>
          <w:color w:val="auto"/>
          <w:shd w:val="clear" w:color="auto" w:fill="FFFFFF"/>
        </w:rPr>
        <w:fldChar w:fldCharType="end"/>
      </w:r>
      <w:r w:rsidRPr="00B40EB2">
        <w:rPr>
          <w:rFonts w:cs="Arial"/>
          <w:color w:val="auto"/>
          <w:shd w:val="clear" w:color="auto" w:fill="FFFFFF"/>
        </w:rPr>
        <w:t xml:space="preserve"> </w:t>
      </w:r>
      <w:r w:rsidR="00EC006F" w:rsidRPr="00B40EB2">
        <w:rPr>
          <w:rFonts w:cs="Arial"/>
          <w:color w:val="auto"/>
          <w:shd w:val="clear" w:color="auto" w:fill="FFFFFF"/>
        </w:rPr>
        <w:t>This</w:t>
      </w:r>
      <w:r w:rsidRPr="00B40EB2">
        <w:rPr>
          <w:rFonts w:cs="Arial"/>
          <w:color w:val="auto"/>
          <w:shd w:val="clear" w:color="auto" w:fill="FFFFFF"/>
        </w:rPr>
        <w:t xml:space="preserve"> </w:t>
      </w:r>
      <w:r w:rsidR="00D34915" w:rsidRPr="00B40EB2">
        <w:rPr>
          <w:rFonts w:cs="Arial"/>
          <w:color w:val="auto"/>
          <w:shd w:val="clear" w:color="auto" w:fill="FFFFFF"/>
        </w:rPr>
        <w:t>yields the</w:t>
      </w:r>
      <w:r w:rsidRPr="00B40EB2">
        <w:rPr>
          <w:rFonts w:cs="Arial"/>
          <w:color w:val="auto"/>
          <w:shd w:val="clear" w:color="auto" w:fill="FFFFFF"/>
        </w:rPr>
        <w:t xml:space="preserve"> increased binding affinity between IL4/anti-IL4 when PG is used for the antibody immobilization. As far as the potential barrier width between the bound complex and the transition state,</w:t>
      </w:r>
      <w:r w:rsidRPr="0036631E">
        <w:rPr>
          <w:bCs/>
          <w:color w:val="auto"/>
        </w:rPr>
        <w:t xml:space="preserve"> </w:t>
      </w:r>
      <w:r w:rsidRPr="00B40EB2">
        <w:rPr>
          <w:bCs/>
          <w:i/>
          <w:color w:val="auto"/>
        </w:rPr>
        <w:t>x</w:t>
      </w:r>
      <w:r w:rsidRPr="00B40EB2">
        <w:rPr>
          <w:bCs/>
          <w:i/>
          <w:color w:val="auto"/>
          <w:vertAlign w:val="subscript"/>
        </w:rPr>
        <w:t>β</w:t>
      </w:r>
      <w:r w:rsidRPr="00B40EB2">
        <w:rPr>
          <w:bCs/>
          <w:color w:val="auto"/>
        </w:rPr>
        <w:t xml:space="preserve">, is concerned, the values for both functionalization approaches fall in the range usually found for specific interactions between partners with </w:t>
      </w:r>
      <w:r w:rsidR="00D34915" w:rsidRPr="00B40EB2">
        <w:rPr>
          <w:bCs/>
          <w:color w:val="auto"/>
        </w:rPr>
        <w:t xml:space="preserve">a </w:t>
      </w:r>
      <w:r w:rsidRPr="00B40EB2">
        <w:rPr>
          <w:bCs/>
          <w:color w:val="auto"/>
        </w:rPr>
        <w:t>rather high conformational stability.</w:t>
      </w:r>
      <w:r w:rsidR="00B43940" w:rsidRPr="00E51451">
        <w:rPr>
          <w:bCs/>
          <w:color w:val="auto"/>
        </w:rPr>
        <w:fldChar w:fldCharType="begin" w:fldLock="1"/>
      </w:r>
      <w:r w:rsidR="00DD1C36" w:rsidRPr="00E51451">
        <w:rPr>
          <w:bCs/>
          <w:color w:val="auto"/>
        </w:rPr>
        <w:instrText>ADDIN CSL_CITATION { "citationItems" : [ { "id" : "ITEM-1", "itemData" : { "author" : [ { "dropping-particle" : "", "family" : "Zhao", "given" : "Xiubo", "non-dropping-particle" : "", "parse-names" : false, "suffix" : "" }, { "dropping-particle" : "", "family" : "Yaseen", "given" : "Mohammed", "non-dropping-particle" : "", "parse-names" : false, "suffix" : "" }, { "dropping-particle" : "", "family" : "Pan", "given" : "Fang", "non-dropping-particle" : "", "parse-names" : false, "suffix" : "" }, { "dropping-particle" : "", "family" : "Lu", "given" : "Jian R", "non-dropping-particle" : "", "parse-names" : false, "suffix" : "" }, { "dropping-particle" : "", "family" : "Street", "given" : "Mappin", "non-dropping-particle" : "", "parse-names" : false, "suffix" : "" }, { "dropping-particle" : "", "family" : "Sheffield", "given" : "S", "non-dropping-particle" : "", "parse-names" : false, "suffix" : "" } ], "id" : "ITEM-1", "issued" : { "date-parts" : [ [ "2012" ] ] }, "page" : "543-574", "title" : "Protein and Interfaces III. State of the art", "type" : "book" }, "uris" : [ "http://www.mendeley.com/documents/?uuid=b01be8f9-6c24-4d85-b820-b20bfac7c96b" ] } ], "mendeley" : { "formattedCitation" : "&lt;sup&gt;53&lt;/sup&gt;", "plainTextFormattedCitation" : "53", "previouslyFormattedCitation" : "&lt;sup&gt;53&lt;/sup&gt;" }, "properties" : { "noteIndex" : 0 }, "schema" : "https://github.com/citation-style-language/schema/raw/master/csl-citation.json" }</w:instrText>
      </w:r>
      <w:r w:rsidR="00B43940" w:rsidRPr="00E51451">
        <w:rPr>
          <w:bCs/>
          <w:color w:val="auto"/>
        </w:rPr>
        <w:fldChar w:fldCharType="separate"/>
      </w:r>
      <w:r w:rsidR="00DD1C36" w:rsidRPr="00E51451">
        <w:rPr>
          <w:bCs/>
          <w:noProof/>
          <w:color w:val="auto"/>
          <w:vertAlign w:val="superscript"/>
        </w:rPr>
        <w:t>53</w:t>
      </w:r>
      <w:r w:rsidR="00B43940" w:rsidRPr="00E51451">
        <w:rPr>
          <w:bCs/>
          <w:color w:val="auto"/>
        </w:rPr>
        <w:fldChar w:fldCharType="end"/>
      </w:r>
      <w:r w:rsidRPr="00B40EB2">
        <w:rPr>
          <w:bCs/>
          <w:color w:val="auto"/>
        </w:rPr>
        <w:t xml:space="preserve"> </w:t>
      </w:r>
      <w:r w:rsidRPr="00B40EB2">
        <w:rPr>
          <w:rFonts w:cs="Arial"/>
          <w:color w:val="auto"/>
          <w:shd w:val="clear" w:color="auto" w:fill="FFFFFF"/>
        </w:rPr>
        <w:t xml:space="preserve">We observe that the IL4/anti-IL4 complex formed </w:t>
      </w:r>
      <w:r w:rsidRPr="00E51451">
        <w:rPr>
          <w:rFonts w:cs="Arial"/>
          <w:i/>
          <w:color w:val="auto"/>
          <w:shd w:val="clear" w:color="auto" w:fill="FFFFFF"/>
        </w:rPr>
        <w:t>via</w:t>
      </w:r>
      <w:r w:rsidRPr="00B40EB2">
        <w:rPr>
          <w:rFonts w:cs="Arial"/>
          <w:color w:val="auto"/>
          <w:shd w:val="clear" w:color="auto" w:fill="FFFFFF"/>
        </w:rPr>
        <w:t xml:space="preserve"> PG immobilization with a lifetime of the complex of 206</w:t>
      </w:r>
      <w:r w:rsidRPr="004F5851">
        <w:rPr>
          <w:rFonts w:cs="Arial"/>
          <w:color w:val="auto"/>
          <w:shd w:val="clear" w:color="auto" w:fill="FFFFFF"/>
        </w:rPr>
        <w:t>s</w:t>
      </w:r>
      <w:r w:rsidRPr="00B40EB2">
        <w:rPr>
          <w:rFonts w:cs="Arial"/>
          <w:color w:val="auto"/>
          <w:shd w:val="clear" w:color="auto" w:fill="FFFFFF"/>
        </w:rPr>
        <w:t xml:space="preserve"> shows higher stability as compared to the one formed onto the SAM-functionalized surface, which will dissociate faster at a complex lifetime of </w:t>
      </w:r>
      <w:r w:rsidR="003D7418">
        <w:rPr>
          <w:rFonts w:cs="Arial"/>
          <w:color w:val="auto"/>
          <w:shd w:val="clear" w:color="auto" w:fill="FFFFFF"/>
        </w:rPr>
        <w:t>5</w:t>
      </w:r>
      <w:r w:rsidRPr="00B40EB2">
        <w:rPr>
          <w:rFonts w:cs="Arial"/>
          <w:color w:val="auto"/>
          <w:shd w:val="clear" w:color="auto" w:fill="FFFFFF"/>
        </w:rPr>
        <w:t xml:space="preserve">s.  </w:t>
      </w:r>
    </w:p>
    <w:p w:rsidR="00E007AC" w:rsidRPr="00B40EB2" w:rsidRDefault="002A500C" w:rsidP="00E007AC">
      <w:pPr>
        <w:suppressAutoHyphens w:val="0"/>
        <w:spacing w:after="0" w:line="480" w:lineRule="auto"/>
        <w:jc w:val="left"/>
        <w:rPr>
          <w:color w:val="auto"/>
          <w:kern w:val="0"/>
          <w:lang w:eastAsia="es-ES"/>
        </w:rPr>
      </w:pPr>
      <w:r w:rsidRPr="00B40EB2">
        <w:rPr>
          <w:rFonts w:cs="Arial"/>
          <w:color w:val="auto"/>
          <w:shd w:val="clear" w:color="auto" w:fill="FFFFFF"/>
        </w:rPr>
        <w:t>A</w:t>
      </w:r>
      <w:r w:rsidR="00E007AC" w:rsidRPr="00B40EB2">
        <w:rPr>
          <w:rFonts w:cs="Arial"/>
          <w:color w:val="auto"/>
          <w:shd w:val="clear" w:color="auto" w:fill="FFFFFF"/>
        </w:rPr>
        <w:t>ccording to the Evans Bell model</w:t>
      </w:r>
      <w:r w:rsidR="000A5C44" w:rsidRPr="004F5851">
        <w:rPr>
          <w:rFonts w:cs="Arial"/>
          <w:color w:val="auto"/>
          <w:shd w:val="clear" w:color="auto" w:fill="FFFFFF"/>
        </w:rPr>
        <w:t>,</w:t>
      </w:r>
      <w:r w:rsidR="00E007AC" w:rsidRPr="00B40EB2">
        <w:rPr>
          <w:rFonts w:cs="Arial"/>
          <w:color w:val="auto"/>
          <w:shd w:val="clear" w:color="auto" w:fill="FFFFFF"/>
        </w:rPr>
        <w:t xml:space="preserve"> the dissociation of the antibody-antigen complex under an external force </w:t>
      </w:r>
      <w:r w:rsidRPr="00B40EB2">
        <w:rPr>
          <w:rFonts w:cs="Arial"/>
          <w:color w:val="auto"/>
          <w:shd w:val="clear" w:color="auto" w:fill="FFFFFF"/>
        </w:rPr>
        <w:t>is</w:t>
      </w:r>
      <w:r w:rsidR="00E007AC" w:rsidRPr="00B40EB2">
        <w:rPr>
          <w:rFonts w:cs="Arial"/>
          <w:color w:val="auto"/>
          <w:shd w:val="clear" w:color="auto" w:fill="FFFFFF"/>
        </w:rPr>
        <w:t xml:space="preserve"> described in the frame of the transition state theory</w:t>
      </w:r>
      <w:r w:rsidRPr="00B40EB2">
        <w:rPr>
          <w:rFonts w:cs="Arial"/>
          <w:color w:val="auto"/>
          <w:shd w:val="clear" w:color="auto" w:fill="FFFFFF"/>
        </w:rPr>
        <w:t>.</w:t>
      </w:r>
      <w:r w:rsidR="00B43940" w:rsidRPr="00E51451">
        <w:rPr>
          <w:rFonts w:cs="Arial"/>
          <w:color w:val="auto"/>
          <w:shd w:val="clear" w:color="auto" w:fill="FFFFFF"/>
        </w:rPr>
        <w:fldChar w:fldCharType="begin" w:fldLock="1"/>
      </w:r>
      <w:r w:rsidR="00DD1C36" w:rsidRPr="00E51451">
        <w:rPr>
          <w:rFonts w:cs="Arial"/>
          <w:color w:val="auto"/>
          <w:shd w:val="clear" w:color="auto" w:fill="FFFFFF"/>
        </w:rPr>
        <w:instrText>ADDIN CSL_CITATION { "citationItems" : [ { "id" : "ITEM-1", "itemData" : { "DOI" : "10.1016/S0006-3495(97)78802-7", "abstract" : "In biology, molecular linkages at, within, and beneath cell interfaces arise mainly from weak noncovalent interactions. These bonds will fail under any level of pulling force if held for sufficient time. Thus, when tested with ultrasensitive force probes, we expect cohesive material strength and strength of adhesion at interfaces to be time- and loading rate-dependent properties. To examine what can be learned from measurements of bond strength, we have extended Kramers' theory for reaction kinetics in liquids to bond dissociation under force and tested the predictions by smart Monte Carlo (Brownian dynamics) simulations of bond rupture. By definition, bond strength is the force that produces the most frequent failure in repeated tests of breakage, i.e., the peak in the distribution of rupture forces. As verified by the simulations, theory shows that bond strength progresses through three dynamic regimes of loading rate. First, bond strength emerges at a critical rate of loading (&gt; or = 0) at which spontaneous dissociation is just frequent enough to keep the distribution peak at zero force. In the slow-loading regime immediately above the critical rate, strength grows as a weak power of loading rate and reflects initial coupling of force to the bonding potential. At higher rates, there is crossover to a fast regime in which strength continues to increase as the logarithm of the loading rate over many decades independent of the type of attraction. Finally, at ultrafast loading rates approaching the domain of molecular dynamics simulations, the bonding potential is quickly overwhelmed by the rapidly increasing force, so that only naked frictional drag on the structure remains to retard separation. Hence, to expose the energy landscape that governs bond strength, molecular adhesion forces must be examined over an enormous span of time scales. However, a significant gap exists between the time domain of force measurements in the laboratory and the extremely fast scale of molecular motions. Using results from a simulation of biotin-avidin bonds (Izrailev, S., S. Stepaniants, M. Balsera, Y. Oono, and K. Schulten. 1997. Molecular dynamics study of unbinding of the avidin-biotin complex. Biophys. J., this issue), we describe how Brownian dynamics can help bridge the gap between molecular dynamics and probe tests.", "author" : [ { "dropping-particle" : "", "family" : "Evans", "given" : "E", "non-dropping-particle" : "", "parse-names" : false, "suffix" : "" }, { "dropping-particle" : "", "family" : "Ritchie", "given" : "K", "non-dropping-particle" : "", "parse-names" : false, "suffix" : "" } ], "container-title" : "Biophysical journal", "id" : "ITEM-1", "issue" : "4", "issued" : { "date-parts" : [ [ "1997" ] ] }, "page" : "1541-1555", "publisher" : "Elsevier", "title" : "Dynamic strength of molecular adhesion bonds", "type" : "article-journal", "volume" : "72" }, "uris" : [ "http://www.mendeley.com/documents/?uuid=772cde48-0bfc-48ee-811e-6fdb37a9b4a3" ] }, { "id" : "ITEM-2", "itemData" : { "author" : [ { "dropping-particle" : "", "family" : "Eyring", "given" : "Henry", "non-dropping-particle" : "", "parse-names" : false, "suffix" : "" } ], "container-title" : "The Journal of Chemical Physics", "id" : "ITEM-2", "issued" : { "date-parts" : [ [ "1935" ] ] }, "page" : "107-115", "title" : "The Activated Complex in Chemical Reactions", "type" : "article-journal", "volume" : "3" }, "uris" : [ "http://www.mendeley.com/documents/?uuid=50470fd2-eb91-415e-b8e5-eb941e0b56c6" ] } ], "mendeley" : { "formattedCitation" : "&lt;sup&gt;27,66&lt;/sup&gt;", "plainTextFormattedCitation" : "27,66", "previouslyFormattedCitation" : "&lt;sup&gt;27,66&lt;/sup&gt;" }, "properties" : { "noteIndex" : 0 }, "schema" : "https://github.com/citation-style-language/schema/raw/master/csl-citation.json" }</w:instrText>
      </w:r>
      <w:r w:rsidR="00B43940" w:rsidRPr="00E51451">
        <w:rPr>
          <w:rFonts w:cs="Arial"/>
          <w:color w:val="auto"/>
          <w:shd w:val="clear" w:color="auto" w:fill="FFFFFF"/>
        </w:rPr>
        <w:fldChar w:fldCharType="separate"/>
      </w:r>
      <w:r w:rsidR="00234D1C" w:rsidRPr="00E51451">
        <w:rPr>
          <w:rFonts w:cs="Arial"/>
          <w:noProof/>
          <w:color w:val="auto"/>
          <w:shd w:val="clear" w:color="auto" w:fill="FFFFFF"/>
          <w:vertAlign w:val="superscript"/>
        </w:rPr>
        <w:t>1</w:t>
      </w:r>
      <w:r w:rsidR="00DD1C36" w:rsidRPr="00E51451">
        <w:rPr>
          <w:rFonts w:cs="Arial"/>
          <w:noProof/>
          <w:color w:val="auto"/>
          <w:shd w:val="clear" w:color="auto" w:fill="FFFFFF"/>
          <w:vertAlign w:val="superscript"/>
        </w:rPr>
        <w:t>7,66</w:t>
      </w:r>
      <w:r w:rsidR="00B43940" w:rsidRPr="00E51451">
        <w:rPr>
          <w:rFonts w:cs="Arial"/>
          <w:color w:val="auto"/>
          <w:shd w:val="clear" w:color="auto" w:fill="FFFFFF"/>
        </w:rPr>
        <w:fldChar w:fldCharType="end"/>
      </w:r>
      <w:r w:rsidRPr="00B40EB2">
        <w:rPr>
          <w:rFonts w:cs="Arial"/>
          <w:color w:val="auto"/>
          <w:shd w:val="clear" w:color="auto" w:fill="FFFFFF"/>
        </w:rPr>
        <w:t xml:space="preserve"> On</w:t>
      </w:r>
      <w:r w:rsidR="009232B2">
        <w:rPr>
          <w:rFonts w:cs="Arial"/>
          <w:color w:val="auto"/>
          <w:shd w:val="clear" w:color="auto" w:fill="FFFFFF"/>
        </w:rPr>
        <w:t>c</w:t>
      </w:r>
      <w:r w:rsidRPr="00B40EB2">
        <w:rPr>
          <w:rFonts w:cs="Arial"/>
          <w:color w:val="auto"/>
          <w:shd w:val="clear" w:color="auto" w:fill="FFFFFF"/>
        </w:rPr>
        <w:t>e</w:t>
      </w:r>
      <w:r w:rsidR="00E007AC" w:rsidRPr="00B40EB2">
        <w:rPr>
          <w:rFonts w:cs="Arial"/>
          <w:color w:val="auto"/>
          <w:shd w:val="clear" w:color="auto" w:fill="FFFFFF"/>
        </w:rPr>
        <w:t xml:space="preserve"> </w:t>
      </w:r>
      <w:r w:rsidR="00E007AC" w:rsidRPr="00B40EB2">
        <w:rPr>
          <w:rFonts w:cs="Arial"/>
          <w:i/>
          <w:color w:val="auto"/>
          <w:shd w:val="clear" w:color="auto" w:fill="FFFFFF"/>
        </w:rPr>
        <w:t>k</w:t>
      </w:r>
      <w:r w:rsidR="00E007AC" w:rsidRPr="00B40EB2">
        <w:rPr>
          <w:rFonts w:cs="Arial"/>
          <w:i/>
          <w:color w:val="auto"/>
          <w:shd w:val="clear" w:color="auto" w:fill="FFFFFF"/>
          <w:vertAlign w:val="subscript"/>
        </w:rPr>
        <w:t>off</w:t>
      </w:r>
      <w:r w:rsidR="00E007AC" w:rsidRPr="00B40EB2">
        <w:rPr>
          <w:rFonts w:cs="Arial"/>
          <w:color w:val="auto"/>
          <w:shd w:val="clear" w:color="auto" w:fill="FFFFFF"/>
        </w:rPr>
        <w:t xml:space="preserve"> </w:t>
      </w:r>
      <w:r w:rsidRPr="00B40EB2">
        <w:rPr>
          <w:rFonts w:cs="Arial"/>
          <w:color w:val="auto"/>
          <w:shd w:val="clear" w:color="auto" w:fill="FFFFFF"/>
        </w:rPr>
        <w:t>is</w:t>
      </w:r>
      <w:r w:rsidR="00E007AC" w:rsidRPr="00B40EB2">
        <w:rPr>
          <w:rFonts w:cs="Arial"/>
          <w:color w:val="auto"/>
          <w:shd w:val="clear" w:color="auto" w:fill="FFFFFF"/>
        </w:rPr>
        <w:t xml:space="preserve"> calculated, </w:t>
      </w:r>
      <w:r w:rsidR="00E007AC" w:rsidRPr="00B40EB2">
        <w:rPr>
          <w:rFonts w:cs="Arial"/>
          <w:i/>
          <w:color w:val="auto"/>
          <w:shd w:val="clear" w:color="auto" w:fill="FFFFFF"/>
        </w:rPr>
        <w:t>ΔG</w:t>
      </w:r>
      <w:r w:rsidR="00E007AC" w:rsidRPr="00B40EB2">
        <w:rPr>
          <w:rFonts w:cs="Arial"/>
          <w:color w:val="auto"/>
          <w:shd w:val="clear" w:color="auto" w:fill="FFFFFF"/>
        </w:rPr>
        <w:t xml:space="preserve"> can be estimated using the following equation, where </w:t>
      </w:r>
      <w:r w:rsidR="00E007AC" w:rsidRPr="00B40EB2">
        <w:rPr>
          <w:rFonts w:cs="Arial"/>
          <w:i/>
          <w:color w:val="auto"/>
          <w:shd w:val="clear" w:color="auto" w:fill="FFFFFF"/>
        </w:rPr>
        <w:t>h</w:t>
      </w:r>
      <w:r w:rsidR="00E007AC" w:rsidRPr="00B40EB2">
        <w:rPr>
          <w:rFonts w:cs="Arial"/>
          <w:color w:val="auto"/>
          <w:shd w:val="clear" w:color="auto" w:fill="FFFFFF"/>
        </w:rPr>
        <w:t xml:space="preserve"> is Planck’s constant:</w:t>
      </w:r>
      <w:r w:rsidR="003357D8" w:rsidRPr="00B40EB2">
        <w:rPr>
          <w:rFonts w:cs="Arial"/>
          <w:color w:val="auto"/>
          <w:shd w:val="clear" w:color="auto" w:fill="FFFFFF"/>
        </w:rPr>
        <w:t xml:space="preserve"> </w:t>
      </w:r>
    </w:p>
    <w:p w:rsidR="00E007AC" w:rsidRPr="00B40EB2" w:rsidRDefault="0079496D" w:rsidP="00E007AC">
      <w:pPr>
        <w:spacing w:line="480" w:lineRule="auto"/>
        <w:jc w:val="center"/>
        <w:rPr>
          <w:rFonts w:cs="Arial"/>
          <w:color w:val="auto"/>
          <w:shd w:val="clear" w:color="auto" w:fill="FFFF00"/>
        </w:rPr>
      </w:pPr>
      <w:r w:rsidRPr="0036631E">
        <w:rPr>
          <w:rFonts w:cs="Arial"/>
          <w:color w:val="auto"/>
          <w:position w:val="-30"/>
          <w:shd w:val="clear" w:color="auto" w:fill="FFFFFF"/>
        </w:rPr>
        <w:object w:dxaOrig="2680" w:dyaOrig="720">
          <v:shape id="_x0000_i1034" type="#_x0000_t75" style="width:134.2pt;height:36.45pt" o:ole="">
            <v:imagedata r:id="rId22" o:title=""/>
          </v:shape>
          <o:OLEObject Type="Embed" ProgID="Equation.3" ShapeID="_x0000_i1034" DrawAspect="Content" ObjectID="_1494322568" r:id="rId23"/>
        </w:object>
      </w:r>
    </w:p>
    <w:p w:rsidR="00E007AC" w:rsidRPr="00B40EB2" w:rsidRDefault="00E007AC" w:rsidP="00E007AC">
      <w:pPr>
        <w:spacing w:line="480" w:lineRule="auto"/>
        <w:rPr>
          <w:rFonts w:cs="Arial"/>
          <w:color w:val="auto"/>
          <w:shd w:val="clear" w:color="auto" w:fill="FFFFFF"/>
        </w:rPr>
      </w:pPr>
      <w:r w:rsidRPr="00B40EB2">
        <w:rPr>
          <w:rFonts w:cs="Arial"/>
          <w:color w:val="auto"/>
          <w:shd w:val="clear" w:color="auto" w:fill="FFFFFF"/>
        </w:rPr>
        <w:t>The total free energy of the antibody-antigen complex has been estimated for the two gold functionalization appr</w:t>
      </w:r>
      <w:r w:rsidR="0069124F">
        <w:rPr>
          <w:rFonts w:cs="Arial"/>
          <w:color w:val="auto"/>
          <w:shd w:val="clear" w:color="auto" w:fill="FFFFFF"/>
        </w:rPr>
        <w:t>oaches, obtaining values of -91</w:t>
      </w:r>
      <w:r w:rsidRPr="00B40EB2">
        <w:rPr>
          <w:rFonts w:cs="Arial"/>
          <w:color w:val="auto"/>
          <w:shd w:val="clear" w:color="auto" w:fill="FFFFFF"/>
        </w:rPr>
        <w:t xml:space="preserve"> kJ/mol for the PG media</w:t>
      </w:r>
      <w:r w:rsidR="0069124F">
        <w:rPr>
          <w:rFonts w:cs="Arial"/>
          <w:color w:val="auto"/>
          <w:shd w:val="clear" w:color="auto" w:fill="FFFFFF"/>
        </w:rPr>
        <w:t>ted functionalization and -82</w:t>
      </w:r>
      <w:r w:rsidRPr="00B40EB2">
        <w:rPr>
          <w:rFonts w:cs="Arial"/>
          <w:color w:val="auto"/>
          <w:shd w:val="clear" w:color="auto" w:fill="FFFFFF"/>
        </w:rPr>
        <w:t xml:space="preserve"> kJ/mol for the HSC6NH2-functionalization. One should take into account the fact that this free energy includes contribution from the unbinding process of the antibody-antigen complex, as well as from the stretching of the PEG linker. Therefore, the free </w:t>
      </w:r>
      <w:r w:rsidRPr="00B40EB2">
        <w:rPr>
          <w:rFonts w:cs="Arial"/>
          <w:color w:val="auto"/>
          <w:shd w:val="clear" w:color="auto" w:fill="FFFFFF"/>
        </w:rPr>
        <w:lastRenderedPageBreak/>
        <w:t>energy related exclusively to the unbinding process of the IL4/anti-IL4 complex can be calculated from this expression:</w:t>
      </w:r>
    </w:p>
    <w:p w:rsidR="00E007AC" w:rsidRPr="00B40EB2" w:rsidRDefault="0079496D" w:rsidP="00E007AC">
      <w:pPr>
        <w:spacing w:line="480" w:lineRule="auto"/>
        <w:jc w:val="center"/>
        <w:rPr>
          <w:rFonts w:cs="Arial"/>
          <w:color w:val="auto"/>
          <w:shd w:val="clear" w:color="auto" w:fill="FFFFFF"/>
        </w:rPr>
      </w:pPr>
      <w:r w:rsidRPr="0079496D">
        <w:rPr>
          <w:rFonts w:cs="Arial"/>
          <w:color w:val="auto"/>
          <w:position w:val="-14"/>
          <w:shd w:val="clear" w:color="auto" w:fill="FFFFFF"/>
        </w:rPr>
        <w:object w:dxaOrig="3060" w:dyaOrig="380">
          <v:shape id="_x0000_i1035" type="#_x0000_t75" style="width:153.35pt;height:19.15pt" o:ole="">
            <v:imagedata r:id="rId24" o:title=""/>
          </v:shape>
          <o:OLEObject Type="Embed" ProgID="Equation.3" ShapeID="_x0000_i1035" DrawAspect="Content" ObjectID="_1494322569" r:id="rId25"/>
        </w:object>
      </w:r>
    </w:p>
    <w:p w:rsidR="00B67151" w:rsidRPr="0079496D" w:rsidRDefault="00E007AC" w:rsidP="005F22C5">
      <w:pPr>
        <w:spacing w:line="480" w:lineRule="auto"/>
        <w:rPr>
          <w:rFonts w:cs="Arial"/>
          <w:color w:val="auto"/>
          <w:shd w:val="clear" w:color="auto" w:fill="FFFFFF"/>
        </w:rPr>
      </w:pPr>
      <w:r w:rsidRPr="00B40EB2">
        <w:rPr>
          <w:rFonts w:cs="Arial"/>
          <w:color w:val="auto"/>
          <w:shd w:val="clear" w:color="auto" w:fill="FFFFFF"/>
        </w:rPr>
        <w:t>The free energy related to the stretching of a 10 nm long PEG linker has been estimated experimentally to be -7.45 kJ/mol,</w:t>
      </w:r>
      <w:r w:rsidR="00B43940" w:rsidRPr="00E51451">
        <w:rPr>
          <w:rFonts w:cs="Arial"/>
          <w:color w:val="auto"/>
          <w:shd w:val="clear" w:color="auto" w:fill="FFFFFF"/>
        </w:rPr>
        <w:fldChar w:fldCharType="begin" w:fldLock="1"/>
      </w:r>
      <w:r w:rsidR="00DD1C36" w:rsidRPr="00E51451">
        <w:rPr>
          <w:rFonts w:cs="Arial"/>
          <w:color w:val="auto"/>
          <w:shd w:val="clear" w:color="auto" w:fill="FFFFFF"/>
        </w:rPr>
        <w:instrText>ADDIN CSL_CITATION { "citationItems" : [ { "id" : "ITEM-1", "itemData" : { "author" : [ { "dropping-particle" : "", "family" : "Oesterhelt", "given" : "F", "non-dropping-particle" : "", "parse-names" : false, "suffix" : "" }, { "dropping-particle" : "", "family" : "Rief", "given" : "M", "non-dropping-particle" : "", "parse-names" : false, "suffix" : "" }, { "dropping-particle" : "", "family" : "Gaub", "given" : "H E", "non-dropping-particle" : "", "parse-names" : false, "suffix" : "" } ], "container-title" : "New journal of physics", "id" : "ITEM-1", "issued" : { "date-parts" : [ [ "1999" ] ] }, "page" : "6.1-6.11", "title" : "Single molecule force spectroscopy by AFM indicates helical structure of poly ( ethylene-glycol ) in water", "type" : "article-journal", "volume" : "1" }, "uris" : [ "http://www.mendeley.com/documents/?uuid=09b6ff7f-7cc5-49d2-a81e-3d41c547a47d" ] } ], "mendeley" : { "formattedCitation" : "&lt;sup&gt;67&lt;/sup&gt;", "plainTextFormattedCitation" : "67", "previouslyFormattedCitation" : "&lt;sup&gt;67&lt;/sup&gt;" }, "properties" : { "noteIndex" : 0 }, "schema" : "https://github.com/citation-style-language/schema/raw/master/csl-citation.json" }</w:instrText>
      </w:r>
      <w:r w:rsidR="00B43940" w:rsidRPr="00E51451">
        <w:rPr>
          <w:rFonts w:cs="Arial"/>
          <w:color w:val="auto"/>
          <w:shd w:val="clear" w:color="auto" w:fill="FFFFFF"/>
        </w:rPr>
        <w:fldChar w:fldCharType="separate"/>
      </w:r>
      <w:r w:rsidR="00DD1C36" w:rsidRPr="00E51451">
        <w:rPr>
          <w:rFonts w:cs="Arial"/>
          <w:noProof/>
          <w:color w:val="auto"/>
          <w:shd w:val="clear" w:color="auto" w:fill="FFFFFF"/>
          <w:vertAlign w:val="superscript"/>
        </w:rPr>
        <w:t>67</w:t>
      </w:r>
      <w:r w:rsidR="00B43940" w:rsidRPr="00E51451">
        <w:rPr>
          <w:rFonts w:cs="Arial"/>
          <w:color w:val="auto"/>
          <w:shd w:val="clear" w:color="auto" w:fill="FFFFFF"/>
        </w:rPr>
        <w:fldChar w:fldCharType="end"/>
      </w:r>
      <w:r w:rsidRPr="00B40EB2">
        <w:rPr>
          <w:rFonts w:cs="Arial"/>
          <w:color w:val="auto"/>
          <w:shd w:val="clear" w:color="auto" w:fill="FFFFFF"/>
        </w:rPr>
        <w:t xml:space="preserve"> so the unbinding free energy corresponding to the antibody-antigen pairs are -8</w:t>
      </w:r>
      <w:r w:rsidR="0069124F">
        <w:rPr>
          <w:rFonts w:cs="Arial"/>
          <w:color w:val="auto"/>
          <w:shd w:val="clear" w:color="auto" w:fill="FFFFFF"/>
        </w:rPr>
        <w:t>4(</w:t>
      </w:r>
      <w:r w:rsidR="0069124F">
        <w:rPr>
          <w:color w:val="auto"/>
          <w:shd w:val="clear" w:color="auto" w:fill="FFFFFF"/>
        </w:rPr>
        <w:t>±</w:t>
      </w:r>
      <w:r w:rsidR="0069124F">
        <w:rPr>
          <w:rFonts w:cs="Arial"/>
          <w:color w:val="auto"/>
          <w:shd w:val="clear" w:color="auto" w:fill="FFFFFF"/>
        </w:rPr>
        <w:t>42)</w:t>
      </w:r>
      <w:r w:rsidRPr="00B40EB2">
        <w:rPr>
          <w:rFonts w:cs="Arial"/>
          <w:color w:val="auto"/>
          <w:shd w:val="clear" w:color="auto" w:fill="FFFFFF"/>
        </w:rPr>
        <w:t xml:space="preserve"> kJ/mol for the PG-based functionalization and -7</w:t>
      </w:r>
      <w:r w:rsidR="0069124F">
        <w:rPr>
          <w:rFonts w:cs="Arial"/>
          <w:color w:val="auto"/>
          <w:shd w:val="clear" w:color="auto" w:fill="FFFFFF"/>
        </w:rPr>
        <w:t>5(</w:t>
      </w:r>
      <w:r w:rsidR="0069124F">
        <w:rPr>
          <w:color w:val="auto"/>
          <w:shd w:val="clear" w:color="auto" w:fill="FFFFFF"/>
        </w:rPr>
        <w:t>±</w:t>
      </w:r>
      <w:r w:rsidR="0069124F">
        <w:rPr>
          <w:rFonts w:cs="Arial"/>
          <w:color w:val="auto"/>
          <w:shd w:val="clear" w:color="auto" w:fill="FFFFFF"/>
        </w:rPr>
        <w:t>26)</w:t>
      </w:r>
      <w:r w:rsidRPr="00B40EB2">
        <w:rPr>
          <w:rFonts w:cs="Arial"/>
          <w:color w:val="auto"/>
          <w:shd w:val="clear" w:color="auto" w:fill="FFFFFF"/>
        </w:rPr>
        <w:t xml:space="preserve"> kJ/mol for the HSC6NH2 functionalization. Th</w:t>
      </w:r>
      <w:r w:rsidR="0069124F">
        <w:rPr>
          <w:rFonts w:cs="Arial"/>
          <w:color w:val="auto"/>
          <w:shd w:val="clear" w:color="auto" w:fill="FFFFFF"/>
        </w:rPr>
        <w:t>e</w:t>
      </w:r>
      <w:r w:rsidRPr="00B40EB2">
        <w:rPr>
          <w:rFonts w:cs="Arial"/>
          <w:color w:val="auto"/>
          <w:shd w:val="clear" w:color="auto" w:fill="FFFFFF"/>
        </w:rPr>
        <w:t>s</w:t>
      </w:r>
      <w:r w:rsidR="0069124F">
        <w:rPr>
          <w:rFonts w:cs="Arial"/>
          <w:color w:val="auto"/>
          <w:shd w:val="clear" w:color="auto" w:fill="FFFFFF"/>
        </w:rPr>
        <w:t>e</w:t>
      </w:r>
      <w:r w:rsidRPr="00B40EB2">
        <w:rPr>
          <w:rFonts w:cs="Arial"/>
          <w:color w:val="auto"/>
          <w:shd w:val="clear" w:color="auto" w:fill="FFFFFF"/>
        </w:rPr>
        <w:t xml:space="preserve"> value</w:t>
      </w:r>
      <w:r w:rsidR="0069124F">
        <w:rPr>
          <w:rFonts w:cs="Arial"/>
          <w:color w:val="auto"/>
          <w:shd w:val="clear" w:color="auto" w:fill="FFFFFF"/>
        </w:rPr>
        <w:t>s</w:t>
      </w:r>
      <w:r w:rsidRPr="00B40EB2">
        <w:rPr>
          <w:rFonts w:cs="Arial"/>
          <w:color w:val="auto"/>
          <w:shd w:val="clear" w:color="auto" w:fill="FFFFFF"/>
        </w:rPr>
        <w:t xml:space="preserve"> of the unbinding free energy could be related to the breaking of several hydrogen bonds and one or two salt bridges</w:t>
      </w:r>
      <w:r w:rsidR="0069124F">
        <w:rPr>
          <w:rFonts w:cs="Arial"/>
          <w:color w:val="auto"/>
          <w:shd w:val="clear" w:color="auto" w:fill="FFFFFF"/>
        </w:rPr>
        <w:t xml:space="preserve"> that are responsible of the Ab-Ag recognition</w:t>
      </w:r>
      <w:r w:rsidRPr="00B40EB2">
        <w:rPr>
          <w:rFonts w:cs="Arial"/>
          <w:color w:val="auto"/>
          <w:shd w:val="clear" w:color="auto" w:fill="FFFFFF"/>
        </w:rPr>
        <w:t xml:space="preserve">. </w:t>
      </w:r>
    </w:p>
    <w:p w:rsidR="005F22C5" w:rsidRPr="00B40EB2" w:rsidRDefault="005F22C5" w:rsidP="008F5D4F">
      <w:pPr>
        <w:pStyle w:val="TAMainText"/>
        <w:spacing w:after="240"/>
        <w:ind w:firstLine="0"/>
        <w:jc w:val="left"/>
        <w:outlineLvl w:val="0"/>
        <w:rPr>
          <w:b/>
        </w:rPr>
      </w:pPr>
      <w:r w:rsidRPr="00B40EB2">
        <w:rPr>
          <w:b/>
        </w:rPr>
        <w:t>Detection of IL4 with EGOFET-based immunosensors</w:t>
      </w:r>
    </w:p>
    <w:p w:rsidR="005F22C5" w:rsidRPr="00B40EB2" w:rsidRDefault="005F22C5" w:rsidP="005F22C5">
      <w:pPr>
        <w:pStyle w:val="TAMainText"/>
        <w:spacing w:after="240"/>
        <w:ind w:firstLine="0"/>
        <w:jc w:val="left"/>
        <w:rPr>
          <w:b/>
        </w:rPr>
      </w:pPr>
      <w:r w:rsidRPr="00B40EB2">
        <w:t xml:space="preserve">The pristine device </w:t>
      </w:r>
      <w:r w:rsidR="00051413" w:rsidRPr="00B40EB2">
        <w:t>exhibits</w:t>
      </w:r>
      <w:r w:rsidRPr="00B40EB2">
        <w:t xml:space="preserve"> a field-effect </w:t>
      </w:r>
      <w:r w:rsidR="00051413" w:rsidRPr="00B40EB2">
        <w:t xml:space="preserve">charge mobility </w:t>
      </w:r>
      <w:r w:rsidRPr="00B40EB2">
        <w:rPr>
          <w:i/>
        </w:rPr>
        <w:t>µ</w:t>
      </w:r>
      <w:r w:rsidR="00051413" w:rsidRPr="00B40EB2">
        <w:t>=</w:t>
      </w:r>
      <w:r w:rsidRPr="00B40EB2">
        <w:t>3.8×10</w:t>
      </w:r>
      <w:r w:rsidRPr="00B40EB2">
        <w:rPr>
          <w:vertAlign w:val="superscript"/>
        </w:rPr>
        <w:t>-4</w:t>
      </w:r>
      <w:r w:rsidRPr="00B40EB2">
        <w:t xml:space="preserve"> cm</w:t>
      </w:r>
      <w:r w:rsidRPr="00B40EB2">
        <w:rPr>
          <w:vertAlign w:val="superscript"/>
        </w:rPr>
        <w:t>2</w:t>
      </w:r>
      <w:r w:rsidRPr="00B40EB2">
        <w:t>V</w:t>
      </w:r>
      <w:r w:rsidRPr="00B40EB2">
        <w:rPr>
          <w:vertAlign w:val="superscript"/>
        </w:rPr>
        <w:t>-1</w:t>
      </w:r>
      <w:r w:rsidRPr="00B40EB2">
        <w:t>s</w:t>
      </w:r>
      <w:r w:rsidRPr="00B40EB2">
        <w:rPr>
          <w:vertAlign w:val="superscript"/>
        </w:rPr>
        <w:t>-1</w:t>
      </w:r>
      <w:r w:rsidR="00051413" w:rsidRPr="00B40EB2">
        <w:t xml:space="preserve"> and a threshold voltage </w:t>
      </w:r>
      <w:r w:rsidRPr="00B40EB2">
        <w:rPr>
          <w:i/>
        </w:rPr>
        <w:t>V</w:t>
      </w:r>
      <w:r w:rsidRPr="00B40EB2">
        <w:rPr>
          <w:i/>
          <w:vertAlign w:val="subscript"/>
        </w:rPr>
        <w:t>th</w:t>
      </w:r>
      <w:r w:rsidR="00051413" w:rsidRPr="00B40EB2">
        <w:t>=</w:t>
      </w:r>
      <w:r w:rsidR="008F55E8" w:rsidRPr="00B40EB2">
        <w:t>-40mV</w:t>
      </w:r>
      <w:r w:rsidR="00116745" w:rsidRPr="00B40EB2">
        <w:t>.</w:t>
      </w:r>
      <w:r w:rsidRPr="00B40EB2">
        <w:t xml:space="preserve"> The leakage current is always lower than 10nA along with an almost negligible hysteresis featuring no electrochemical doping of pentacene thin-film. </w:t>
      </w:r>
    </w:p>
    <w:p w:rsidR="005F22C5" w:rsidRPr="00B40EB2" w:rsidRDefault="005F22C5" w:rsidP="005F22C5">
      <w:pPr>
        <w:pStyle w:val="TAMainText"/>
        <w:spacing w:after="240"/>
        <w:ind w:firstLine="0"/>
        <w:jc w:val="left"/>
      </w:pPr>
      <w:r w:rsidRPr="00B40EB2">
        <w:rPr>
          <w:color w:val="auto"/>
        </w:rPr>
        <w:t>The I-V characteristics of an immuno-EGOFET with a gate electrode modified with anti-IL4, immobilized by glutaraldehyde-based protocol, is shown in Fig.</w:t>
      </w:r>
      <w:r w:rsidR="00BA2A18" w:rsidRPr="00B40EB2">
        <w:rPr>
          <w:color w:val="auto"/>
        </w:rPr>
        <w:t xml:space="preserve"> </w:t>
      </w:r>
      <w:r w:rsidR="00C562D4" w:rsidRPr="00B40EB2">
        <w:rPr>
          <w:color w:val="auto"/>
        </w:rPr>
        <w:t>7</w:t>
      </w:r>
      <w:r w:rsidRPr="00B40EB2">
        <w:rPr>
          <w:color w:val="auto"/>
        </w:rPr>
        <w:t xml:space="preserve">a. We observe that the anti-IL4 (red </w:t>
      </w:r>
      <w:r w:rsidR="00BA2A18" w:rsidRPr="00B40EB2">
        <w:rPr>
          <w:color w:val="auto"/>
        </w:rPr>
        <w:t>curve</w:t>
      </w:r>
      <w:r w:rsidRPr="00B40EB2">
        <w:rPr>
          <w:color w:val="auto"/>
        </w:rPr>
        <w:t xml:space="preserve">) induces an electrical change in the I-V curve with respect to that recorded before </w:t>
      </w:r>
      <w:r w:rsidR="00BA2A18" w:rsidRPr="00B40EB2">
        <w:rPr>
          <w:color w:val="auto"/>
        </w:rPr>
        <w:t>anti-IL-4</w:t>
      </w:r>
      <w:r w:rsidRPr="00B40EB2">
        <w:rPr>
          <w:color w:val="auto"/>
        </w:rPr>
        <w:t xml:space="preserve"> immobilization (black</w:t>
      </w:r>
      <w:r w:rsidR="00BA2A18" w:rsidRPr="00B40EB2">
        <w:rPr>
          <w:color w:val="auto"/>
        </w:rPr>
        <w:t xml:space="preserve"> curve</w:t>
      </w:r>
      <w:r w:rsidRPr="00B40EB2">
        <w:rPr>
          <w:color w:val="auto"/>
        </w:rPr>
        <w:t>).</w:t>
      </w:r>
      <w:r w:rsidRPr="00B40EB2">
        <w:t xml:space="preserve"> The Au gate electrode was then incubated in a reference solution of IL-4 at a concentration of </w:t>
      </w:r>
      <w:r w:rsidR="00C562D4" w:rsidRPr="00B40EB2">
        <w:t>5</w:t>
      </w:r>
      <w:r w:rsidRPr="00B40EB2">
        <w:t>nM. This additional exposure does not give rise to further electrical change (blue</w:t>
      </w:r>
      <w:r w:rsidR="00BA2A18" w:rsidRPr="00B40EB2">
        <w:t xml:space="preserve"> curve</w:t>
      </w:r>
      <w:r w:rsidRPr="00B40EB2">
        <w:t xml:space="preserve">). According to the protocol of Porter </w:t>
      </w:r>
      <w:r w:rsidRPr="00E51451">
        <w:rPr>
          <w:i/>
        </w:rPr>
        <w:t>et al.</w:t>
      </w:r>
      <w:r w:rsidRPr="00B40EB2">
        <w:t>,</w:t>
      </w:r>
      <w:r w:rsidR="00B43940" w:rsidRPr="00E51451">
        <w:fldChar w:fldCharType="begin" w:fldLock="1"/>
      </w:r>
      <w:r w:rsidR="00DD1C36" w:rsidRPr="00E51451">
        <w:instrText>ADDIN CSL_CITATION { "citationItems" : [ { "id" : "ITEM-1", "itemData" : { "author" : [ { "dropping-particle" : "", "family" : "Walczak", "given" : "M", "non-dropping-particle" : "", "parse-names" : false, "suffix" : "" }, { "dropping-particle" : "", "family" : "Popenoe", "given" : "Darwin D", "non-dropping-particle" : "", "parse-names" : false, "suffix" : "" }, { "dropping-particle" : "", "family" : "Deinhammer", "given" : "Randall S", "non-dropping-particle" : "", "parse-names" : false, "suffix" : "" }, { "dropping-particle" : "", "family" : "Lamp", "given" : "Brian D", "non-dropping-particle" : "", "parse-names" : false, "suffix" : "" }, { "dropping-particle" : "", "family" : "Chung", "given" : "Chinkap", "non-dropping-particle" : "", "parse-names" : false, "suffix" : "" }, { "dropping-particle" : "", "family" : "Porter", "given" : "Marc D", "non-dropping-particle" : "", "parse-names" : false, "suffix" : "" } ], "container-title" : "Langmuir", "id" : "ITEM-1", "issued" : { "date-parts" : [ [ "1991" ] ] }, "page" : "2687-2693", "title" : "Reductive desorption of alkanethiolate monolayers at gold: a measure of surface coverage", "type" : "article-journal" }, "uris" : [ "http://www.mendeley.com/documents/?uuid=56dfe55b-6f27-40c4-bb15-24f5e3f65321" ] }, { "id" : "ITEM-2", "itemData" : { "author" : [ { "dropping-particle" : "", "family" : "Widrig", "given" : "A", "non-dropping-particle" : "", "parse-names" : false, "suffix" : "" }, { "dropping-particle" : "", "family" : "Porter", "given" : "Marc D", "non-dropping-particle" : "", "parse-names" : false, "suffix" : "" } ], "container-title" : "Journal of Electroanalytical Chemistry", "id" : "ITEM-2", "issued" : { "date-parts" : [ [ "1991" ] ] }, "page" : "335-359", "title" : "The electrochemical desorption of n-alkanethiol from polycrystalline Au and Ag electrodes monolayers", "type" : "article-journal", "volume" : "310" }, "uris" : [ "http://www.mendeley.com/documents/?uuid=a2a6da3e-688e-4977-8375-0b34976a51f6" ] } ], "mendeley" : { "formattedCitation" : "&lt;sup&gt;68,69&lt;/sup&gt;", "plainTextFormattedCitation" : "68,69", "previouslyFormattedCitation" : "&lt;sup&gt;68,69&lt;/sup&gt;" }, "properties" : { "noteIndex" : 0 }, "schema" : "https://github.com/citation-style-language/schema/raw/master/csl-citation.json" }</w:instrText>
      </w:r>
      <w:r w:rsidR="00B43940" w:rsidRPr="00E51451">
        <w:fldChar w:fldCharType="separate"/>
      </w:r>
      <w:r w:rsidR="00DD1C36" w:rsidRPr="00E51451">
        <w:rPr>
          <w:noProof/>
          <w:vertAlign w:val="superscript"/>
        </w:rPr>
        <w:t>68,69</w:t>
      </w:r>
      <w:r w:rsidR="00B43940" w:rsidRPr="00E51451">
        <w:fldChar w:fldCharType="end"/>
      </w:r>
      <w:r w:rsidRPr="00B40EB2">
        <w:t xml:space="preserve"> the biological layer has been electrochemically detached (see Fig.</w:t>
      </w:r>
      <w:r w:rsidR="00BA2A18" w:rsidRPr="00B40EB2">
        <w:t xml:space="preserve"> </w:t>
      </w:r>
      <w:r w:rsidRPr="00B40EB2">
        <w:t>S</w:t>
      </w:r>
      <w:r w:rsidR="00807094">
        <w:t>3</w:t>
      </w:r>
      <w:r w:rsidRPr="00B40EB2">
        <w:t xml:space="preserve"> in supporting info) </w:t>
      </w:r>
      <w:r w:rsidRPr="00E51451">
        <w:rPr>
          <w:i/>
        </w:rPr>
        <w:t>via</w:t>
      </w:r>
      <w:r w:rsidRPr="00B40EB2">
        <w:t xml:space="preserve"> the cleavage of th</w:t>
      </w:r>
      <w:r w:rsidR="001C7C36">
        <w:t xml:space="preserve">e chemical bond between Au and </w:t>
      </w:r>
      <w:r w:rsidRPr="00B40EB2">
        <w:t>sul</w:t>
      </w:r>
      <w:r w:rsidR="00C562D4" w:rsidRPr="00B40EB2">
        <w:t>phur of the 6-aminohexaneth</w:t>
      </w:r>
      <w:r w:rsidRPr="00B40EB2">
        <w:t xml:space="preserve">iol. The subsequent increase of </w:t>
      </w:r>
      <w:r w:rsidRPr="00B40EB2">
        <w:lastRenderedPageBreak/>
        <w:t>the EGOFET performance proves that no deterioration is taking place at the experimental time-scale. The same validation process has been applied to the PG-based protocol (see Fig. 3b). At variance with the previous</w:t>
      </w:r>
      <w:r w:rsidR="00465E0B" w:rsidRPr="00B40EB2">
        <w:t>ly described</w:t>
      </w:r>
      <w:r w:rsidRPr="00B40EB2">
        <w:t xml:space="preserve"> </w:t>
      </w:r>
      <w:r w:rsidR="00465E0B" w:rsidRPr="00B40EB2">
        <w:t>case</w:t>
      </w:r>
      <w:r w:rsidRPr="00B40EB2">
        <w:t xml:space="preserve">, a significant change in the electrical response </w:t>
      </w:r>
      <w:r w:rsidR="00465E0B" w:rsidRPr="00B40EB2">
        <w:rPr>
          <w:color w:val="auto"/>
        </w:rPr>
        <w:t>is now</w:t>
      </w:r>
      <w:r w:rsidRPr="00B40EB2">
        <w:t xml:space="preserve"> observed after incubation of </w:t>
      </w:r>
      <w:r w:rsidR="00465E0B" w:rsidRPr="00B40EB2">
        <w:t>the gate electrode</w:t>
      </w:r>
      <w:r w:rsidRPr="00B40EB2">
        <w:t xml:space="preserve"> in the IL-4 solution. </w:t>
      </w:r>
    </w:p>
    <w:p w:rsidR="005F22C5" w:rsidRPr="00B40EB2" w:rsidRDefault="005F22C5" w:rsidP="005F22C5">
      <w:pPr>
        <w:pStyle w:val="TAMainText"/>
        <w:spacing w:after="240"/>
        <w:ind w:firstLine="0"/>
        <w:jc w:val="left"/>
      </w:pPr>
      <w:r w:rsidRPr="00B40EB2">
        <w:t xml:space="preserve">We then focused our attention only on the PG-mediated functionalization and </w:t>
      </w:r>
      <w:r w:rsidRPr="00B40EB2">
        <w:rPr>
          <w:color w:val="auto"/>
        </w:rPr>
        <w:t xml:space="preserve">monitored step-by-step changes in the electrical performances of the device by recording shifts </w:t>
      </w:r>
      <w:r w:rsidR="00465E0B" w:rsidRPr="00B40EB2">
        <w:rPr>
          <w:color w:val="auto"/>
        </w:rPr>
        <w:t>of</w:t>
      </w:r>
      <w:r w:rsidRPr="00B40EB2">
        <w:rPr>
          <w:color w:val="auto"/>
        </w:rPr>
        <w:t xml:space="preserve"> </w:t>
      </w:r>
      <w:r w:rsidRPr="00B40EB2">
        <w:rPr>
          <w:i/>
          <w:color w:val="auto"/>
        </w:rPr>
        <w:t>µ</w:t>
      </w:r>
      <w:r w:rsidRPr="00B40EB2">
        <w:rPr>
          <w:color w:val="auto"/>
        </w:rPr>
        <w:t xml:space="preserve"> and </w:t>
      </w:r>
      <w:r w:rsidRPr="00B40EB2">
        <w:rPr>
          <w:i/>
          <w:color w:val="auto"/>
        </w:rPr>
        <w:t>V</w:t>
      </w:r>
      <w:r w:rsidRPr="00B40EB2">
        <w:rPr>
          <w:i/>
          <w:color w:val="auto"/>
          <w:vertAlign w:val="subscript"/>
        </w:rPr>
        <w:t>th</w:t>
      </w:r>
      <w:r w:rsidR="00116745" w:rsidRPr="00B40EB2">
        <w:rPr>
          <w:color w:val="auto"/>
        </w:rPr>
        <w:t xml:space="preserve"> </w:t>
      </w:r>
      <w:r w:rsidRPr="00B40EB2">
        <w:rPr>
          <w:color w:val="auto"/>
        </w:rPr>
        <w:t>(see Fig.</w:t>
      </w:r>
      <w:r w:rsidR="00C562D4" w:rsidRPr="00B40EB2">
        <w:rPr>
          <w:color w:val="auto"/>
        </w:rPr>
        <w:t>7</w:t>
      </w:r>
      <w:r w:rsidRPr="00B40EB2">
        <w:rPr>
          <w:color w:val="auto"/>
        </w:rPr>
        <w:t>c and Fig.</w:t>
      </w:r>
      <w:r w:rsidR="00C562D4" w:rsidRPr="00B40EB2">
        <w:rPr>
          <w:color w:val="auto"/>
        </w:rPr>
        <w:t>7</w:t>
      </w:r>
      <w:r w:rsidRPr="00B40EB2">
        <w:rPr>
          <w:color w:val="auto"/>
        </w:rPr>
        <w:t xml:space="preserve">d). </w:t>
      </w:r>
      <w:r w:rsidRPr="00B40EB2">
        <w:t xml:space="preserve">Throughout the functionalization </w:t>
      </w:r>
      <w:r w:rsidRPr="00B40EB2">
        <w:rPr>
          <w:color w:val="auto"/>
        </w:rPr>
        <w:t>procedure</w:t>
      </w:r>
      <w:r w:rsidRPr="00B40EB2">
        <w:t>, mobility shows a gradual decrease down to 60% of the initial value. This is ascrib</w:t>
      </w:r>
      <w:r w:rsidR="00465E0B" w:rsidRPr="00B40EB2">
        <w:t>ed</w:t>
      </w:r>
      <w:r w:rsidRPr="00B40EB2">
        <w:t xml:space="preserve"> to a </w:t>
      </w:r>
      <w:r w:rsidR="00465E0B" w:rsidRPr="00B40EB2">
        <w:t xml:space="preserve">decrease </w:t>
      </w:r>
      <w:r w:rsidR="00116745" w:rsidRPr="00B40EB2">
        <w:t xml:space="preserve">of the capacitive coupling </w:t>
      </w:r>
      <w:r w:rsidRPr="00B40EB2">
        <w:t xml:space="preserve">between the gate electrode and the </w:t>
      </w:r>
      <w:r w:rsidR="00465E0B" w:rsidRPr="00B40EB2">
        <w:t>organic semiconductor</w:t>
      </w:r>
      <w:r w:rsidRPr="00B40EB2">
        <w:t xml:space="preserve"> thin film due to addition of biological layers on the gate surface (see Fig.</w:t>
      </w:r>
      <w:r w:rsidR="00465E0B" w:rsidRPr="00B40EB2">
        <w:t xml:space="preserve"> </w:t>
      </w:r>
      <w:r w:rsidR="00C562D4" w:rsidRPr="00B40EB2">
        <w:t>7</w:t>
      </w:r>
      <w:r w:rsidRPr="00B40EB2">
        <w:t>c). Regarding the threshold vo</w:t>
      </w:r>
      <w:r w:rsidR="001C7C36">
        <w:t>ltage, a rather complex behavio</w:t>
      </w:r>
      <w:r w:rsidRPr="00B40EB2">
        <w:t>r has been observed. On one hand, the adsorption of protein G gives rise to a negative shift of threshold voltage, while on the other</w:t>
      </w:r>
      <w:r w:rsidR="00D01146" w:rsidRPr="00B40EB2">
        <w:t xml:space="preserve"> hand</w:t>
      </w:r>
      <w:r w:rsidRPr="00B40EB2">
        <w:t xml:space="preserve"> both </w:t>
      </w:r>
      <w:r w:rsidR="00465E0B" w:rsidRPr="00B40EB2">
        <w:t>anti-IL4</w:t>
      </w:r>
      <w:r w:rsidRPr="00B40EB2">
        <w:t xml:space="preserve"> grafting and subsequently IL-4 recognition yield an opposite shift. This means that the protein G </w:t>
      </w:r>
      <w:r w:rsidR="00133268" w:rsidRPr="00B40EB2">
        <w:t>reduces the</w:t>
      </w:r>
      <w:r w:rsidRPr="00B40EB2">
        <w:t xml:space="preserve"> charge-carrier</w:t>
      </w:r>
      <w:r w:rsidR="00133268" w:rsidRPr="00B40EB2">
        <w:t xml:space="preserve"> density</w:t>
      </w:r>
      <w:r w:rsidRPr="00B40EB2">
        <w:t xml:space="preserve"> in the conductive channel with respect to </w:t>
      </w:r>
      <w:r w:rsidR="00133268" w:rsidRPr="00B40EB2">
        <w:t>bare Au electrode</w:t>
      </w:r>
      <w:r w:rsidRPr="00B40EB2">
        <w:t xml:space="preserve">. </w:t>
      </w:r>
      <w:r w:rsidR="00133268" w:rsidRPr="00B40EB2">
        <w:t>Owing to</w:t>
      </w:r>
      <w:r w:rsidRPr="00B40EB2">
        <w:t xml:space="preserve"> the fact that the isoelectric point (</w:t>
      </w:r>
      <w:r w:rsidR="00D665B2">
        <w:t>p</w:t>
      </w:r>
      <w:r w:rsidRPr="00B40EB2">
        <w:t>I) of</w:t>
      </w:r>
      <w:r w:rsidR="00133268" w:rsidRPr="00B40EB2">
        <w:t xml:space="preserve"> protein G is acidic (around 5), this means that protein G is negatively charged at pH=7.2 and strongly coupled to the charge carriers in the channel to act as a trap, </w:t>
      </w:r>
      <w:r w:rsidR="00F57850" w:rsidRPr="00B40EB2">
        <w:t xml:space="preserve">and </w:t>
      </w:r>
      <w:r w:rsidR="00133268" w:rsidRPr="00B40EB2">
        <w:t xml:space="preserve">not </w:t>
      </w:r>
      <w:r w:rsidR="00F57850" w:rsidRPr="00B40EB2">
        <w:t xml:space="preserve">as </w:t>
      </w:r>
      <w:r w:rsidR="00133268" w:rsidRPr="00B40EB2">
        <w:t>a dopant. In the case of</w:t>
      </w:r>
      <w:r w:rsidRPr="00B40EB2">
        <w:t xml:space="preserve"> IL-</w:t>
      </w:r>
      <w:bookmarkStart w:id="1" w:name="_GoBack1"/>
      <w:bookmarkEnd w:id="1"/>
      <w:r w:rsidRPr="00B40EB2">
        <w:t xml:space="preserve">4 </w:t>
      </w:r>
      <w:r w:rsidR="00133268" w:rsidRPr="00B40EB2">
        <w:t xml:space="preserve">whose </w:t>
      </w:r>
      <w:r w:rsidR="00D665B2">
        <w:t>p</w:t>
      </w:r>
      <w:r w:rsidR="00133268" w:rsidRPr="00B40EB2">
        <w:t>I=8.2, there is a partial release of these “trapped” carriers manifesting itself with a shift towards less negative threshold voltage. This can be due either to formation of a surface dipole upon specific binding of IL-4 to its anti-IL4, thus in</w:t>
      </w:r>
      <w:r w:rsidR="00F57850" w:rsidRPr="00B40EB2">
        <w:t>creasing the capacitance of the</w:t>
      </w:r>
      <w:r w:rsidR="00133268" w:rsidRPr="00B40EB2">
        <w:t xml:space="preserve"> </w:t>
      </w:r>
      <w:r w:rsidR="00F57850" w:rsidRPr="00B40EB2">
        <w:t>interface and the consequent capacitive coupling, or to a partial compensation of</w:t>
      </w:r>
      <w:r w:rsidR="00133268" w:rsidRPr="00B40EB2">
        <w:t xml:space="preserve"> the negative charge density of protein G</w:t>
      </w:r>
      <w:r w:rsidRPr="00B40EB2">
        <w:t xml:space="preserve">. </w:t>
      </w:r>
    </w:p>
    <w:p w:rsidR="005F22C5" w:rsidRPr="00B40EB2" w:rsidRDefault="005F22C5" w:rsidP="005F22C5">
      <w:pPr>
        <w:pStyle w:val="TAMainText"/>
        <w:spacing w:after="240"/>
        <w:ind w:firstLine="0"/>
        <w:jc w:val="left"/>
        <w:rPr>
          <w:rFonts w:cs="Arial"/>
          <w:shd w:val="clear" w:color="auto" w:fill="FFFFFF"/>
        </w:rPr>
      </w:pPr>
      <w:r w:rsidRPr="00B40EB2">
        <w:rPr>
          <w:color w:val="auto"/>
        </w:rPr>
        <w:t xml:space="preserve">Our electrical measurements show that </w:t>
      </w:r>
      <w:r w:rsidRPr="00B40EB2">
        <w:rPr>
          <w:rFonts w:cs="Arial"/>
          <w:color w:val="auto"/>
          <w:shd w:val="clear" w:color="auto" w:fill="FFFFFF"/>
        </w:rPr>
        <w:t xml:space="preserve">PG functionalized EGOFETs are capable to sense IL4 down to </w:t>
      </w:r>
      <w:r w:rsidR="0019281A" w:rsidRPr="00B40EB2">
        <w:rPr>
          <w:rFonts w:cs="Arial"/>
          <w:color w:val="auto"/>
          <w:shd w:val="clear" w:color="auto" w:fill="FFFFFF"/>
        </w:rPr>
        <w:t>5 n</w:t>
      </w:r>
      <w:r w:rsidR="005F5924" w:rsidRPr="00B40EB2">
        <w:rPr>
          <w:rFonts w:cs="Arial"/>
          <w:color w:val="auto"/>
          <w:shd w:val="clear" w:color="auto" w:fill="FFFFFF"/>
        </w:rPr>
        <w:t>M</w:t>
      </w:r>
      <w:r w:rsidR="0019281A" w:rsidRPr="00B40EB2">
        <w:rPr>
          <w:rFonts w:cs="Arial"/>
          <w:color w:val="auto"/>
          <w:shd w:val="clear" w:color="auto" w:fill="FFFFFF"/>
        </w:rPr>
        <w:t xml:space="preserve"> concentrations</w:t>
      </w:r>
      <w:r w:rsidRPr="00B40EB2">
        <w:rPr>
          <w:rFonts w:cs="Arial"/>
          <w:color w:val="auto"/>
          <w:shd w:val="clear" w:color="auto" w:fill="FFFFFF"/>
        </w:rPr>
        <w:t xml:space="preserve">, while the HSC6NH2 </w:t>
      </w:r>
      <w:r w:rsidR="0019281A" w:rsidRPr="00B40EB2">
        <w:rPr>
          <w:rFonts w:cs="Arial"/>
          <w:color w:val="auto"/>
          <w:shd w:val="clear" w:color="auto" w:fill="FFFFFF"/>
        </w:rPr>
        <w:t>functionalized</w:t>
      </w:r>
      <w:r w:rsidRPr="00B40EB2">
        <w:rPr>
          <w:rFonts w:cs="Arial"/>
          <w:color w:val="auto"/>
          <w:shd w:val="clear" w:color="auto" w:fill="FFFFFF"/>
        </w:rPr>
        <w:t xml:space="preserve"> device </w:t>
      </w:r>
      <w:r w:rsidR="0019281A" w:rsidRPr="00B40EB2">
        <w:rPr>
          <w:rFonts w:cs="Arial"/>
          <w:color w:val="auto"/>
          <w:shd w:val="clear" w:color="auto" w:fill="FFFFFF"/>
        </w:rPr>
        <w:t xml:space="preserve">does not give a </w:t>
      </w:r>
      <w:r w:rsidR="0019281A" w:rsidRPr="00B40EB2">
        <w:rPr>
          <w:rFonts w:cs="Arial"/>
          <w:color w:val="auto"/>
          <w:shd w:val="clear" w:color="auto" w:fill="FFFFFF"/>
        </w:rPr>
        <w:lastRenderedPageBreak/>
        <w:t>measurable response</w:t>
      </w:r>
      <w:r w:rsidRPr="00B40EB2">
        <w:rPr>
          <w:rFonts w:cs="Arial"/>
          <w:color w:val="auto"/>
          <w:shd w:val="clear" w:color="auto" w:fill="FFFFFF"/>
        </w:rPr>
        <w:t>.</w:t>
      </w:r>
      <w:r w:rsidRPr="00B40EB2">
        <w:rPr>
          <w:rFonts w:cs="Arial"/>
          <w:shd w:val="clear" w:color="auto" w:fill="FFFFFF"/>
        </w:rPr>
        <w:t xml:space="preserve"> </w:t>
      </w:r>
      <w:r w:rsidR="0019281A" w:rsidRPr="00B40EB2">
        <w:rPr>
          <w:rFonts w:cs="Arial"/>
          <w:shd w:val="clear" w:color="auto" w:fill="FFFFFF"/>
        </w:rPr>
        <w:t>P</w:t>
      </w:r>
      <w:r w:rsidRPr="00B40EB2">
        <w:rPr>
          <w:rFonts w:cs="Arial"/>
          <w:shd w:val="clear" w:color="auto" w:fill="FFFFFF"/>
        </w:rPr>
        <w:t xml:space="preserve">rotein G functionalized device shows a mobility loss of 16% and a positive shift in the threshold voltage of approximately 10 mV </w:t>
      </w:r>
      <w:r w:rsidRPr="00B40EB2">
        <w:rPr>
          <w:rFonts w:cs="Arial"/>
          <w:color w:val="auto"/>
          <w:shd w:val="clear" w:color="auto" w:fill="FFFFFF"/>
        </w:rPr>
        <w:t>after exposure to an IL</w:t>
      </w:r>
      <w:r w:rsidR="0019281A" w:rsidRPr="00B40EB2">
        <w:rPr>
          <w:rFonts w:cs="Arial"/>
          <w:color w:val="auto"/>
          <w:shd w:val="clear" w:color="auto" w:fill="FFFFFF"/>
        </w:rPr>
        <w:t>-</w:t>
      </w:r>
      <w:r w:rsidRPr="00B40EB2">
        <w:rPr>
          <w:rFonts w:cs="Arial"/>
          <w:color w:val="auto"/>
          <w:shd w:val="clear" w:color="auto" w:fill="FFFFFF"/>
        </w:rPr>
        <w:t xml:space="preserve">4 solution </w:t>
      </w:r>
      <w:r w:rsidRPr="00B40EB2">
        <w:rPr>
          <w:rFonts w:cs="Arial"/>
          <w:shd w:val="clear" w:color="auto" w:fill="FFFFFF"/>
        </w:rPr>
        <w:t>(see</w:t>
      </w:r>
      <w:r w:rsidRPr="00DA4ABF">
        <w:rPr>
          <w:rFonts w:cs="Arial"/>
          <w:color w:val="auto"/>
          <w:shd w:val="clear" w:color="auto" w:fill="FFFFFF"/>
        </w:rPr>
        <w:t xml:space="preserve"> </w:t>
      </w:r>
      <w:r w:rsidRPr="00B40EB2">
        <w:rPr>
          <w:rFonts w:cs="Arial"/>
          <w:color w:val="auto"/>
          <w:shd w:val="clear" w:color="auto" w:fill="FFFFFF"/>
        </w:rPr>
        <w:t xml:space="preserve">Table </w:t>
      </w:r>
      <w:r w:rsidR="00B6216F">
        <w:rPr>
          <w:rFonts w:cs="Arial"/>
          <w:color w:val="auto"/>
          <w:shd w:val="clear" w:color="auto" w:fill="FFFFFF"/>
        </w:rPr>
        <w:t>1</w:t>
      </w:r>
      <w:r w:rsidRPr="00B40EB2">
        <w:rPr>
          <w:rFonts w:cs="Arial"/>
          <w:shd w:val="clear" w:color="auto" w:fill="FFFFFF"/>
        </w:rPr>
        <w:t xml:space="preserve">). The absence of significant changes in the electrical properties EGOFETs with gate electrodes modified with the </w:t>
      </w:r>
      <w:r w:rsidR="009E370F" w:rsidRPr="00B40EB2">
        <w:rPr>
          <w:rFonts w:cs="Arial"/>
          <w:color w:val="auto"/>
          <w:shd w:val="clear" w:color="auto" w:fill="FFFFFF"/>
        </w:rPr>
        <w:t>HSC6NH2</w:t>
      </w:r>
      <w:r w:rsidRPr="00B40EB2">
        <w:rPr>
          <w:rFonts w:cs="Arial"/>
          <w:shd w:val="clear" w:color="auto" w:fill="FFFFFF"/>
        </w:rPr>
        <w:t xml:space="preserve">-based functionalization is consistent with the much lower probability of recognition events for randomly oriented anti-IL4. </w:t>
      </w:r>
    </w:p>
    <w:p w:rsidR="005F22C5" w:rsidRPr="00B40EB2" w:rsidRDefault="005F22C5" w:rsidP="008F5D4F">
      <w:pPr>
        <w:pStyle w:val="TAMainText"/>
        <w:spacing w:after="240"/>
        <w:ind w:firstLine="0"/>
        <w:jc w:val="left"/>
        <w:outlineLvl w:val="0"/>
        <w:rPr>
          <w:b/>
        </w:rPr>
      </w:pPr>
      <w:r w:rsidRPr="00B40EB2">
        <w:rPr>
          <w:b/>
        </w:rPr>
        <w:t>CONCLUSIONS</w:t>
      </w:r>
    </w:p>
    <w:p w:rsidR="005F22C5" w:rsidRDefault="006767E6" w:rsidP="00F26573">
      <w:pPr>
        <w:pStyle w:val="TAMainText"/>
        <w:ind w:firstLine="720"/>
      </w:pPr>
      <w:r w:rsidRPr="00E51451">
        <w:rPr>
          <w:rFonts w:ascii="Times New Roman" w:hAnsi="Times New Roman"/>
        </w:rPr>
        <w:t>The use of two completely different technique</w:t>
      </w:r>
      <w:r w:rsidR="00DA4ABF" w:rsidRPr="00E51451">
        <w:rPr>
          <w:rFonts w:ascii="Times New Roman" w:hAnsi="Times New Roman"/>
        </w:rPr>
        <w:t>s</w:t>
      </w:r>
      <w:r w:rsidRPr="00E51451">
        <w:rPr>
          <w:rFonts w:ascii="Times New Roman" w:hAnsi="Times New Roman"/>
        </w:rPr>
        <w:t xml:space="preserve"> in terms of spatial and temporal scales, </w:t>
      </w:r>
      <w:r w:rsidRPr="00E51451">
        <w:rPr>
          <w:rFonts w:ascii="Times New Roman" w:hAnsi="Times New Roman"/>
          <w:i/>
        </w:rPr>
        <w:t>viz.</w:t>
      </w:r>
      <w:r w:rsidRPr="00E51451">
        <w:rPr>
          <w:rFonts w:ascii="Times New Roman" w:hAnsi="Times New Roman"/>
        </w:rPr>
        <w:t xml:space="preserve"> electrical measurements by using of organic transistors and single molecule force spectroscopy, allowed us </w:t>
      </w:r>
      <w:r w:rsidR="00DA4ABF" w:rsidRPr="00E51451">
        <w:rPr>
          <w:rFonts w:ascii="Times New Roman" w:hAnsi="Times New Roman"/>
        </w:rPr>
        <w:t xml:space="preserve">to draw </w:t>
      </w:r>
      <w:r w:rsidR="0099264D" w:rsidRPr="00E51451">
        <w:rPr>
          <w:rFonts w:ascii="Times New Roman" w:hAnsi="Times New Roman"/>
        </w:rPr>
        <w:t>a direct correlation between them in the study of specific interactions of antibody-antigen pair. For this purpose, two strategies of surface functionalization have been assessed, one based on the use of amino-terminated self-assembled monolayers and another one by means of His-Tagged Protein G.</w:t>
      </w:r>
      <w:r w:rsidR="00F60433" w:rsidRPr="00E51451">
        <w:rPr>
          <w:rFonts w:ascii="Times New Roman" w:hAnsi="Times New Roman"/>
        </w:rPr>
        <w:t xml:space="preserve"> </w:t>
      </w:r>
      <w:r w:rsidR="008F14D4" w:rsidRPr="00E51451">
        <w:rPr>
          <w:rFonts w:ascii="Times New Roman" w:hAnsi="Times New Roman"/>
        </w:rPr>
        <w:t>Single force spectroscopy</w:t>
      </w:r>
      <w:r w:rsidR="00F60433" w:rsidRPr="00E51451">
        <w:rPr>
          <w:rFonts w:ascii="Times New Roman" w:hAnsi="Times New Roman"/>
        </w:rPr>
        <w:t xml:space="preserve"> measurements allowed us to </w:t>
      </w:r>
      <w:r w:rsidR="0086338D" w:rsidRPr="00E51451">
        <w:rPr>
          <w:rFonts w:ascii="Times New Roman" w:hAnsi="Times New Roman"/>
        </w:rPr>
        <w:t>detect</w:t>
      </w:r>
      <w:r w:rsidR="00F60433" w:rsidRPr="00E51451">
        <w:rPr>
          <w:rFonts w:ascii="Times New Roman" w:hAnsi="Times New Roman"/>
        </w:rPr>
        <w:t xml:space="preserve"> a larger probability (30%) of unbinding events for </w:t>
      </w:r>
      <w:r w:rsidR="008F14D4" w:rsidRPr="00E51451">
        <w:rPr>
          <w:rFonts w:ascii="Times New Roman" w:hAnsi="Times New Roman"/>
        </w:rPr>
        <w:t>protein G</w:t>
      </w:r>
      <w:r w:rsidR="00F60433" w:rsidRPr="00E51451">
        <w:rPr>
          <w:rFonts w:ascii="Times New Roman" w:hAnsi="Times New Roman"/>
        </w:rPr>
        <w:t xml:space="preserve">-based strategy with respect to </w:t>
      </w:r>
      <w:r w:rsidR="008F14D4" w:rsidRPr="00E51451">
        <w:rPr>
          <w:rFonts w:ascii="Times New Roman" w:hAnsi="Times New Roman"/>
        </w:rPr>
        <w:t>6-aminohexanethiol</w:t>
      </w:r>
      <w:r w:rsidR="00F60433" w:rsidRPr="00E51451">
        <w:rPr>
          <w:rFonts w:ascii="Times New Roman" w:hAnsi="Times New Roman"/>
        </w:rPr>
        <w:t xml:space="preserve">-based one (10%). </w:t>
      </w:r>
      <w:r w:rsidR="0086338D" w:rsidRPr="00E51451">
        <w:rPr>
          <w:rFonts w:ascii="Times New Roman" w:hAnsi="Times New Roman"/>
        </w:rPr>
        <w:t>Furthermore, by using single force spectroscopy we could obtain average lifetime of the antibody-antigen complex for the two different strategies, and we found that the anti-IL4/PG/Au interface shows a significantly higher</w:t>
      </w:r>
      <w:r w:rsidR="00CB510C" w:rsidRPr="00E51451">
        <w:rPr>
          <w:rFonts w:ascii="Times New Roman" w:hAnsi="Times New Roman"/>
        </w:rPr>
        <w:t xml:space="preserve"> lifetime</w:t>
      </w:r>
      <w:r w:rsidR="0086338D" w:rsidRPr="00E51451">
        <w:rPr>
          <w:rFonts w:ascii="Times New Roman" w:hAnsi="Times New Roman"/>
        </w:rPr>
        <w:t xml:space="preserve"> </w:t>
      </w:r>
      <w:r w:rsidR="00CB510C" w:rsidRPr="00E51451">
        <w:rPr>
          <w:rFonts w:ascii="Times New Roman" w:hAnsi="Times New Roman"/>
        </w:rPr>
        <w:t>(</w:t>
      </w:r>
      <w:r w:rsidR="0086338D" w:rsidRPr="00E51451">
        <w:rPr>
          <w:rFonts w:ascii="Times New Roman" w:hAnsi="Times New Roman"/>
        </w:rPr>
        <w:t>τ = 206(±103) s</w:t>
      </w:r>
      <w:r w:rsidR="00CB510C" w:rsidRPr="00E51451">
        <w:rPr>
          <w:rFonts w:ascii="Times New Roman" w:hAnsi="Times New Roman"/>
        </w:rPr>
        <w:t>)</w:t>
      </w:r>
      <w:r w:rsidR="0086338D" w:rsidRPr="00E51451">
        <w:rPr>
          <w:rFonts w:ascii="Times New Roman" w:hAnsi="Times New Roman"/>
        </w:rPr>
        <w:t>, than the anti-IL4/HSC6NH2/Au (τ = 5(±2) s).</w:t>
      </w:r>
      <w:r w:rsidR="00F60433" w:rsidRPr="00E51451">
        <w:rPr>
          <w:rFonts w:ascii="Times New Roman" w:hAnsi="Times New Roman"/>
        </w:rPr>
        <w:t xml:space="preserve"> These experimental evidences clearly prove how PG yields a more ordered Ab layer, hence a more crowded surface of active Abs towards IL-4. The direct implementation of these Au electrodes in EGOFET architecture confirms different sensitivities as a function of the functionalization strategies. As a result, EGOFET successfully sensed IL-4 down to 5nM concentration </w:t>
      </w:r>
      <w:r w:rsidR="0086338D" w:rsidRPr="00E51451">
        <w:rPr>
          <w:rFonts w:ascii="Times New Roman" w:hAnsi="Times New Roman"/>
        </w:rPr>
        <w:t xml:space="preserve">when the gate electrode was functionalized by </w:t>
      </w:r>
      <w:r w:rsidR="00CB510C" w:rsidRPr="00E51451">
        <w:rPr>
          <w:rFonts w:ascii="Times New Roman" w:hAnsi="Times New Roman"/>
        </w:rPr>
        <w:t>PG</w:t>
      </w:r>
      <w:r w:rsidR="00F60433" w:rsidRPr="00E51451">
        <w:rPr>
          <w:rFonts w:ascii="Times New Roman" w:hAnsi="Times New Roman"/>
        </w:rPr>
        <w:t xml:space="preserve">, whereas EGOFETs functionalized by </w:t>
      </w:r>
      <w:r w:rsidR="008F14D4" w:rsidRPr="00E51451">
        <w:rPr>
          <w:rFonts w:ascii="Times New Roman" w:hAnsi="Times New Roman"/>
        </w:rPr>
        <w:t>6-aminohexanethiol</w:t>
      </w:r>
      <w:r w:rsidR="00F60433" w:rsidRPr="00E51451">
        <w:rPr>
          <w:rFonts w:ascii="Times New Roman" w:hAnsi="Times New Roman"/>
        </w:rPr>
        <w:t xml:space="preserve"> failed. Finally, our comparative study meets the challenging task to correlate a mechanical nanoscale </w:t>
      </w:r>
      <w:r w:rsidR="00F60433" w:rsidRPr="00E51451">
        <w:rPr>
          <w:rFonts w:ascii="Times New Roman" w:hAnsi="Times New Roman"/>
        </w:rPr>
        <w:lastRenderedPageBreak/>
        <w:t>metrology by</w:t>
      </w:r>
      <w:r w:rsidR="00CB510C" w:rsidRPr="00E51451">
        <w:rPr>
          <w:rFonts w:ascii="Times New Roman" w:hAnsi="Times New Roman"/>
        </w:rPr>
        <w:t xml:space="preserve"> using</w:t>
      </w:r>
      <w:r w:rsidR="00F60433" w:rsidRPr="00E51451">
        <w:rPr>
          <w:rFonts w:ascii="Times New Roman" w:hAnsi="Times New Roman"/>
        </w:rPr>
        <w:t xml:space="preserve"> SFS </w:t>
      </w:r>
      <w:r w:rsidR="00CB510C" w:rsidRPr="00E51451">
        <w:rPr>
          <w:rFonts w:ascii="Times New Roman" w:hAnsi="Times New Roman"/>
        </w:rPr>
        <w:t xml:space="preserve">to probe </w:t>
      </w:r>
      <w:r w:rsidR="00F60433" w:rsidRPr="00E51451">
        <w:rPr>
          <w:rFonts w:ascii="Times New Roman" w:hAnsi="Times New Roman"/>
        </w:rPr>
        <w:t>individual or a few Ab-Ag pairing</w:t>
      </w:r>
      <w:r w:rsidR="0086338D" w:rsidRPr="00E51451">
        <w:rPr>
          <w:rFonts w:ascii="Times New Roman" w:hAnsi="Times New Roman"/>
        </w:rPr>
        <w:t>s</w:t>
      </w:r>
      <w:r w:rsidR="00F60433" w:rsidRPr="00E51451">
        <w:rPr>
          <w:rFonts w:ascii="Times New Roman" w:hAnsi="Times New Roman"/>
        </w:rPr>
        <w:t xml:space="preserve"> with the electrical EGOFET response that involves </w:t>
      </w:r>
      <w:r w:rsidR="001A3410">
        <w:rPr>
          <w:rFonts w:ascii="Times New Roman" w:hAnsi="Times New Roman"/>
        </w:rPr>
        <w:t>a wide number of</w:t>
      </w:r>
      <w:r w:rsidR="00F60433" w:rsidRPr="00E51451">
        <w:rPr>
          <w:rFonts w:ascii="Times New Roman" w:hAnsi="Times New Roman"/>
        </w:rPr>
        <w:t xml:space="preserve"> recognition events.</w:t>
      </w:r>
      <w:r w:rsidR="00F26573">
        <w:t xml:space="preserve"> </w:t>
      </w:r>
    </w:p>
    <w:p w:rsidR="00F26573" w:rsidRPr="00B40EB2" w:rsidRDefault="00F26573" w:rsidP="00F26573">
      <w:pPr>
        <w:pStyle w:val="TAMainText"/>
        <w:ind w:firstLine="720"/>
      </w:pPr>
    </w:p>
    <w:p w:rsidR="005F22C5" w:rsidRPr="00B40EB2" w:rsidRDefault="005F22C5" w:rsidP="008F5D4F">
      <w:pPr>
        <w:pStyle w:val="TAMainText"/>
        <w:spacing w:after="240"/>
        <w:ind w:firstLine="0"/>
        <w:jc w:val="left"/>
        <w:outlineLvl w:val="0"/>
        <w:rPr>
          <w:b/>
        </w:rPr>
      </w:pPr>
      <w:r w:rsidRPr="00B40EB2">
        <w:rPr>
          <w:b/>
        </w:rPr>
        <w:t>EXPERIMENTAL METHODS</w:t>
      </w:r>
    </w:p>
    <w:p w:rsidR="005F22C5" w:rsidRPr="00B40EB2" w:rsidRDefault="005F22C5" w:rsidP="008F5D4F">
      <w:pPr>
        <w:pStyle w:val="TAMainText"/>
        <w:spacing w:after="240"/>
        <w:ind w:firstLine="0"/>
        <w:jc w:val="left"/>
        <w:outlineLvl w:val="0"/>
      </w:pPr>
      <w:r w:rsidRPr="00B40EB2">
        <w:rPr>
          <w:b/>
        </w:rPr>
        <w:t>Device fabrication</w:t>
      </w:r>
    </w:p>
    <w:p w:rsidR="005F22C5" w:rsidRPr="000D48EA" w:rsidRDefault="005F22C5" w:rsidP="000D48EA">
      <w:pPr>
        <w:pStyle w:val="TAMainText"/>
        <w:spacing w:after="240"/>
        <w:jc w:val="left"/>
      </w:pPr>
      <w:r w:rsidRPr="00B40EB2">
        <w:t xml:space="preserve">Our devices are prepared onto gold-coated glass slides purchased from Phasis (Switzerland). These substrates are made of quartz glass (1mm thick) and a gold layer of 50nm plus few nm of titanium as adhesive layer. Each test-pattern bears 4 transistors, whose channel length is 15µm and channel width equal to 27000 µm. The fabrication is carried out by laser ablation with a short-pulsed Nd:YAG infrared (IR)-laser supplied by a laser scan marker (Scriba Nanotecnologie S.r.l., Bologna, Italy). The IR-Laser pulse frequency and intensity are optimized in order to find the best compromise between removal of the Au layer and roughening of the underlying quartz. Typical operation is performed at a laser power of 8300W and a pulse of 10ns and a frequency of 15500Hz. The laser focus is moved over the surface at a scan-rate of 2000µm/s. </w:t>
      </w:r>
      <w:r w:rsidR="005A5F4A">
        <w:t>D</w:t>
      </w:r>
      <w:r w:rsidRPr="00B40EB2">
        <w:t>etails are described elsewhere.</w:t>
      </w:r>
      <w:r w:rsidR="00B43940" w:rsidRPr="00E51451">
        <w:fldChar w:fldCharType="begin" w:fldLock="1"/>
      </w:r>
      <w:r w:rsidR="00DD1C36" w:rsidRPr="00E51451">
        <w:instrText>ADDIN CSL_CITATION { "citationItems" : [ { "id" : "ITEM-1", "itemData" : { "DOI" : "10.1063/1.4818549", "ISSN" : "00036951", "author" : [ { "dropping-particle" : "", "family" : "Campana", "given" : "Alessandra", "non-dropping-particle" : "", "parse-names" : false, "suffix" : "" }, { "dropping-particle" : "", "family" : "Cramer", "given" : "Tobias", "non-dropping-particle" : "", "parse-names" : false, "suffix" : "" }, { "dropping-particle" : "", "family" : "Greco", "given" : "Pierpaolo", "non-dropping-particle" : "", "parse-names" : false, "suffix" : "" }, { "dropping-particle" : "", "family" : "Foschi", "given" : "Giulia", "non-dropping-particle" : "", "parse-names" : false, "suffix" : "" }, { "dropping-particle" : "", "family" : "Murgia", "given" : "Mauro", "non-dropping-particle" : "", "parse-names" : false, "suffix" : "" }, { "dropping-particle" : "", "family" : "Biscarini", "given" : "Fabio", "non-dropping-particle" : "", "parse-names" : false, "suffix" : "" } ], "container-title" : "Applied Physics Letters", "id" : "ITEM-1", "issue" : "7", "issued" : { "date-parts" : [ [ "2013" ] ] }, "page" : "073302", "title" : "Facile maskless fabrication of organic field effect transistors on biodegradable substrates", "type" : "article-journal", "volume" : "103" }, "uris" : [ "http://www.mendeley.com/documents/?uuid=23497f08-ec69-491e-b6eb-014789cd51e3" ] } ], "mendeley" : { "formattedCitation" : "&lt;sup&gt;70&lt;/sup&gt;", "plainTextFormattedCitation" : "70", "previouslyFormattedCitation" : "&lt;sup&gt;70&lt;/sup&gt;" }, "properties" : { "noteIndex" : 0 }, "schema" : "https://github.com/citation-style-language/schema/raw/master/csl-citation.json" }</w:instrText>
      </w:r>
      <w:r w:rsidR="00B43940" w:rsidRPr="00E51451">
        <w:fldChar w:fldCharType="separate"/>
      </w:r>
      <w:r w:rsidR="00DD1C36" w:rsidRPr="00E51451">
        <w:rPr>
          <w:noProof/>
          <w:vertAlign w:val="superscript"/>
        </w:rPr>
        <w:t>70</w:t>
      </w:r>
      <w:r w:rsidR="00B43940" w:rsidRPr="00E51451">
        <w:fldChar w:fldCharType="end"/>
      </w:r>
      <w:r w:rsidR="000D48EA" w:rsidRPr="00E51451">
        <w:t xml:space="preserve"> The pentacene deposition is performed by thermal sublimation in ultra-high vacuum with base pressure of 5×10</w:t>
      </w:r>
      <w:r w:rsidR="000D48EA" w:rsidRPr="00E51451">
        <w:rPr>
          <w:vertAlign w:val="superscript"/>
        </w:rPr>
        <w:t>-8</w:t>
      </w:r>
      <w:r w:rsidR="000D48EA" w:rsidRPr="00E51451">
        <w:t xml:space="preserve"> m</w:t>
      </w:r>
      <w:r w:rsidR="00B6216F">
        <w:t>b</w:t>
      </w:r>
      <w:r w:rsidR="000D48EA" w:rsidRPr="00E51451">
        <w:t>ar at a rate of 7.5 Å min</w:t>
      </w:r>
      <w:r w:rsidR="000D48EA" w:rsidRPr="00E51451">
        <w:rPr>
          <w:vertAlign w:val="superscript"/>
        </w:rPr>
        <w:t>-1</w:t>
      </w:r>
      <w:r w:rsidR="000D48EA" w:rsidRPr="00E51451">
        <w:t xml:space="preserve"> on the substrate held at room temperature. The pentacene was 15 nm thick (</w:t>
      </w:r>
      <w:r w:rsidR="000D48EA" w:rsidRPr="00E51451">
        <w:sym w:font="Symbol" w:char="F07E"/>
      </w:r>
      <w:r w:rsidR="000D48EA" w:rsidRPr="00E51451">
        <w:t>10 monolayers, ML) as previously published.</w:t>
      </w:r>
      <w:r w:rsidR="00B43940" w:rsidRPr="00E51451">
        <w:fldChar w:fldCharType="begin" w:fldLock="1"/>
      </w:r>
      <w:r w:rsidR="00DD1C36" w:rsidRPr="00E51451">
        <w:instrText>ADDIN CSL_CITATION { "citationItems" : [ { "id" : "ITEM-1", "itemData" : { "DOI" : "10.1016/j.orgel.2012.01.020", "ISBN" : "3905163985", "author" : [ { "dropping-particle" : "", "family" : "Casalini", "given" : "Stefano", "non-dropping-particle" : "", "parse-names" : false, "suffix" : "" }, { "dropping-particle" : "", "family" : "Shehu", "given" : "Arian", "non-dropping-particle" : "", "parse-names" : false, "suffix" : "" }, { "dropping-particle" : "", "family" : "Destri", "given" : "S.", "non-dropping-particle" : "", "parse-names" : false, "suffix" : "" }, { "dropping-particle" : "", "family" : "Porzio", "given" : "W.", "non-dropping-particle" : "", "parse-names" : false, "suffix" : "" }, { "dropping-particle" : "", "family" : "Pasini", "given" : "M.C.", "non-dropping-particle" : "", "parse-names" : false, "suffix" : "" }, { "dropping-particle" : "", "family" : "Vignali", "given" : "F.", "non-dropping-particle" : "", "parse-names" : false, "suffix" : "" }, { "dropping-particle" : "", "family" : "Borgatti", "given" : "Francesco", "non-dropping-particle" : "", "parse-names" : false, "suffix" : "" }, { "dropping-particle" : "", "family" : "Albonetti", "given" : "Cristiano", "non-dropping-particle" : "", "parse-names" : false, "suffix" : "" }, { "dropping-particle" : "", "family" : "Leonardi", "given" : "Francesca", "non-dropping-particle" : "", "parse-names" : false, "suffix" : "" }, { "dropping-particle" : "", "family" : "Biscarini", "given" : "Fabio", "non-dropping-particle" : "", "parse-names" : false, "suffix" : "" } ], "container-title" : "Organic Electronics", "id" : "ITEM-1", "issued" : { "date-parts" : [ [ "2012" ] ] }, "page" : "789-795", "title" : "Organic Field-Effect Transistors as new paradigm for large-area molecular junctions", "type" : "article-journal", "volume" : "13" }, "uris" : [ "http://www.mendeley.com/documents/?uuid=bb8ebd44-cc91-4f8f-9477-7a98396106ec" ] } ], "mendeley" : { "formattedCitation" : "&lt;sup&gt;71&lt;/sup&gt;", "plainTextFormattedCitation" : "71", "previouslyFormattedCitation" : "&lt;sup&gt;71&lt;/sup&gt;" }, "properties" : { "noteIndex" : 0 }, "schema" : "https://github.com/citation-style-language/schema/raw/master/csl-citation.json" }</w:instrText>
      </w:r>
      <w:r w:rsidR="00B43940" w:rsidRPr="00E51451">
        <w:fldChar w:fldCharType="separate"/>
      </w:r>
      <w:r w:rsidR="00DD1C36" w:rsidRPr="00E51451">
        <w:rPr>
          <w:noProof/>
          <w:vertAlign w:val="superscript"/>
        </w:rPr>
        <w:t>71</w:t>
      </w:r>
      <w:r w:rsidR="00B43940" w:rsidRPr="00E51451">
        <w:fldChar w:fldCharType="end"/>
      </w:r>
    </w:p>
    <w:p w:rsidR="005F22C5" w:rsidRPr="00B40EB2" w:rsidRDefault="005F22C5" w:rsidP="008F5D4F">
      <w:pPr>
        <w:pStyle w:val="TAMainText"/>
        <w:spacing w:after="240"/>
        <w:ind w:firstLine="0"/>
        <w:jc w:val="left"/>
        <w:outlineLvl w:val="0"/>
      </w:pPr>
      <w:r w:rsidRPr="00B40EB2">
        <w:rPr>
          <w:b/>
        </w:rPr>
        <w:t>Gate functionalization</w:t>
      </w:r>
    </w:p>
    <w:p w:rsidR="005F22C5" w:rsidRPr="00B40EB2" w:rsidRDefault="005F22C5" w:rsidP="005F22C5">
      <w:pPr>
        <w:pStyle w:val="TAMainText"/>
        <w:spacing w:after="240"/>
        <w:jc w:val="left"/>
      </w:pPr>
      <w:r w:rsidRPr="00B40EB2">
        <w:t xml:space="preserve">6-aminohexanethiol (HSC6NH2) and glutaraldehyde are purchased from Sigma-Aldrich and used without further purification. Recombinant </w:t>
      </w:r>
      <w:r w:rsidR="00004B71">
        <w:t xml:space="preserve">PG, </w:t>
      </w:r>
      <w:r w:rsidRPr="00B40EB2">
        <w:t>monoclonal anti-murine IL-4 (</w:t>
      </w:r>
      <w:r w:rsidR="00B6216F">
        <w:t>a</w:t>
      </w:r>
      <w:r w:rsidRPr="00B40EB2">
        <w:t xml:space="preserve">nti-IL4), and recombinant murine IL-4 </w:t>
      </w:r>
      <w:r w:rsidR="00004B71">
        <w:t>were</w:t>
      </w:r>
      <w:r w:rsidRPr="00B40EB2">
        <w:t xml:space="preserve"> purchased from Vinci-Biochem S.r.l. (Firenze, Italy). </w:t>
      </w:r>
      <w:r w:rsidR="00140EDA">
        <w:t>T</w:t>
      </w:r>
      <w:r w:rsidRPr="00B40EB2">
        <w:t xml:space="preserve">hese </w:t>
      </w:r>
      <w:r w:rsidRPr="00B40EB2">
        <w:lastRenderedPageBreak/>
        <w:t>biological species are produced by Biovision (San Francisco, USA). His-Tagged recombinant protein G lacks the albumin and cell membrane binding domain</w:t>
      </w:r>
      <w:r w:rsidR="00140EDA">
        <w:t>s</w:t>
      </w:r>
      <w:r w:rsidRPr="00B40EB2">
        <w:t xml:space="preserve">. </w:t>
      </w:r>
    </w:p>
    <w:p w:rsidR="005F22C5" w:rsidRPr="00B40EB2" w:rsidRDefault="005F22C5" w:rsidP="005F22C5">
      <w:pPr>
        <w:pStyle w:val="TAMainText"/>
        <w:spacing w:after="240"/>
        <w:ind w:firstLine="0"/>
        <w:jc w:val="left"/>
        <w:rPr>
          <w:b/>
        </w:rPr>
      </w:pPr>
      <w:r w:rsidRPr="00B40EB2">
        <w:t>The gate electrode is a polycrystalline Au wire (diameter equal to 1mm). First, this electrode undergoes a standard cleaning procedure:</w:t>
      </w:r>
      <w:r w:rsidR="00B43940" w:rsidRPr="00E51451">
        <w:fldChar w:fldCharType="begin" w:fldLock="1"/>
      </w:r>
      <w:r w:rsidR="00DD1C36" w:rsidRPr="00E51451">
        <w:instrText>ADDIN CSL_CITATION { "citationItems" : [ { "id" : "ITEM-1", "itemData" : { "DOI" : "10.1016/j.orgel.2012.01.020", "ISBN" : "3905163985", "author" : [ { "dropping-particle" : "", "family" : "Casalini", "given" : "Stefano", "non-dropping-particle" : "", "parse-names" : false, "suffix" : "" }, { "dropping-particle" : "", "family" : "Shehu", "given" : "Arian", "non-dropping-particle" : "", "parse-names" : false, "suffix" : "" }, { "dropping-particle" : "", "family" : "Destri", "given" : "S.", "non-dropping-particle" : "", "parse-names" : false, "suffix" : "" }, { "dropping-particle" : "", "family" : "Porzio", "given" : "W.", "non-dropping-particle" : "", "parse-names" : false, "suffix" : "" }, { "dropping-particle" : "", "family" : "Pasini", "given" : "M.C.", "non-dropping-particle" : "", "parse-names" : false, "suffix" : "" }, { "dropping-particle" : "", "family" : "Vignali", "given" : "F.", "non-dropping-particle" : "", "parse-names" : false, "suffix" : "" }, { "dropping-particle" : "", "family" : "Borgatti", "given" : "Francesco", "non-dropping-particle" : "", "parse-names" : false, "suffix" : "" }, { "dropping-particle" : "", "family" : "Albonetti", "given" : "Cristiano", "non-dropping-particle" : "", "parse-names" : false, "suffix" : "" }, { "dropping-particle" : "", "family" : "Leonardi", "given" : "Francesca", "non-dropping-particle" : "", "parse-names" : false, "suffix" : "" }, { "dropping-particle" : "", "family" : "Biscarini", "given" : "Fabio", "non-dropping-particle" : "", "parse-names" : false, "suffix" : "" } ], "container-title" : "Organic Electronics", "id" : "ITEM-1", "issued" : { "date-parts" : [ [ "2012" ] ] }, "page" : "789-795", "title" : "Organic Field-Effect Transistors as new paradigm for large-area molecular junctions", "type" : "article-journal", "volume" : "13" }, "uris" : [ "http://www.mendeley.com/documents/?uuid=bb8ebd44-cc91-4f8f-9477-7a98396106ec" ] } ], "mendeley" : { "formattedCitation" : "&lt;sup&gt;71&lt;/sup&gt;", "plainTextFormattedCitation" : "71", "previouslyFormattedCitation" : "&lt;sup&gt;71&lt;/sup&gt;" }, "properties" : { "noteIndex" : 0 }, "schema" : "https://github.com/citation-style-language/schema/raw/master/csl-citation.json" }</w:instrText>
      </w:r>
      <w:r w:rsidR="00B43940" w:rsidRPr="00E51451">
        <w:fldChar w:fldCharType="separate"/>
      </w:r>
      <w:r w:rsidR="00DD1C36" w:rsidRPr="00E51451">
        <w:rPr>
          <w:noProof/>
          <w:vertAlign w:val="superscript"/>
        </w:rPr>
        <w:t>71</w:t>
      </w:r>
      <w:r w:rsidR="00B43940" w:rsidRPr="00E51451">
        <w:fldChar w:fldCharType="end"/>
      </w:r>
      <w:r w:rsidRPr="00B40EB2">
        <w:t xml:space="preserve"> (i) immersion in a concentrated H</w:t>
      </w:r>
      <w:r w:rsidRPr="00B40EB2">
        <w:rPr>
          <w:vertAlign w:val="subscript"/>
        </w:rPr>
        <w:t>2</w:t>
      </w:r>
      <w:r w:rsidRPr="00B40EB2">
        <w:t>SO</w:t>
      </w:r>
      <w:r w:rsidRPr="00B40EB2">
        <w:rPr>
          <w:vertAlign w:val="subscript"/>
        </w:rPr>
        <w:t>4</w:t>
      </w:r>
      <w:r w:rsidRPr="00B40EB2">
        <w:t xml:space="preserve"> at 100°C for 1h; (ii) 20 cycles of electro</w:t>
      </w:r>
      <w:r w:rsidR="005A5F4A">
        <w:t>-</w:t>
      </w:r>
      <w:r w:rsidRPr="00B40EB2">
        <w:t>polish</w:t>
      </w:r>
      <w:r w:rsidR="005A5F4A">
        <w:t>ing by</w:t>
      </w:r>
      <w:r w:rsidRPr="00B40EB2">
        <w:t xml:space="preserve"> sweeping the potential from 0V to 1.5V in H</w:t>
      </w:r>
      <w:r w:rsidRPr="00B40EB2">
        <w:rPr>
          <w:vertAlign w:val="subscript"/>
        </w:rPr>
        <w:t>2</w:t>
      </w:r>
      <w:r w:rsidRPr="00B40EB2">
        <w:t>SO</w:t>
      </w:r>
      <w:r w:rsidRPr="00B40EB2">
        <w:rPr>
          <w:vertAlign w:val="subscript"/>
        </w:rPr>
        <w:t>4</w:t>
      </w:r>
      <w:r w:rsidRPr="00B40EB2">
        <w:t xml:space="preserve"> (1M). The glutaraldehyde-based functionalization </w:t>
      </w:r>
      <w:r w:rsidR="005A5F4A">
        <w:t>occurs</w:t>
      </w:r>
      <w:r w:rsidRPr="00B40EB2">
        <w:t xml:space="preserve"> by immersing the gate electrode in a 6-aminohexanethiol solution (1mM) overnight. The further activation is achieved by using glutaraldehyde solution (2.5%v/v) for 1h at 5°C and then the functionalized electrode is immersed in an antibody solution (0.25mg/ml anti-IL4) for 1h at 5°C. The last step consists </w:t>
      </w:r>
      <w:r w:rsidR="005A5F4A">
        <w:t>of</w:t>
      </w:r>
      <w:r w:rsidRPr="00B40EB2">
        <w:t xml:space="preserve"> immersing the Ab-coated electrodes in buffe</w:t>
      </w:r>
      <w:r w:rsidR="005A5F4A">
        <w:t>r</w:t>
      </w:r>
      <w:r w:rsidRPr="00B40EB2">
        <w:t xml:space="preserve"> solution (100mM of PBS, pH 7.4) IL-4 (5nM). The other functionalization exploits a buffer solution (100mM of PBS pH 7.4) of protein G (5mg/ml). Ab and Ag solutions are the same of the previous protocol.</w:t>
      </w:r>
    </w:p>
    <w:p w:rsidR="005F22C5" w:rsidRPr="00B40EB2" w:rsidRDefault="005F22C5" w:rsidP="008F5D4F">
      <w:pPr>
        <w:pStyle w:val="TAMainText"/>
        <w:spacing w:after="240"/>
        <w:ind w:firstLine="0"/>
        <w:jc w:val="left"/>
        <w:outlineLvl w:val="0"/>
      </w:pPr>
      <w:r w:rsidRPr="00B40EB2">
        <w:rPr>
          <w:b/>
        </w:rPr>
        <w:t>Electrical measurements</w:t>
      </w:r>
    </w:p>
    <w:p w:rsidR="0079496D" w:rsidRPr="00B40EB2" w:rsidRDefault="0079496D" w:rsidP="0079496D">
      <w:pPr>
        <w:pStyle w:val="TAMainText"/>
        <w:spacing w:after="240"/>
        <w:ind w:firstLine="0"/>
        <w:jc w:val="left"/>
        <w:rPr>
          <w:color w:val="auto"/>
        </w:rPr>
      </w:pPr>
      <w:r w:rsidRPr="00B40EB2">
        <w:rPr>
          <w:color w:val="auto"/>
        </w:rPr>
        <w:t xml:space="preserve">All the electrochemical, morphological and mechanical investigations described so far proved the possibility of successfully immobilizing anti-IL4 antibodies on functionalized gold surfaces. SFS experiments have also suggested that the use of PG-based immobilization protocol significantly enhances the probability of recognition events between the surface coated with anti-IL4 and IL4. We then applied these immobilization strategies to the functionalization of the gate Au electrode of EGOFETs to </w:t>
      </w:r>
      <w:r>
        <w:rPr>
          <w:color w:val="auto"/>
        </w:rPr>
        <w:t>obtain an</w:t>
      </w:r>
      <w:r w:rsidRPr="00B40EB2">
        <w:rPr>
          <w:color w:val="auto"/>
        </w:rPr>
        <w:t xml:space="preserve"> </w:t>
      </w:r>
      <w:r>
        <w:rPr>
          <w:color w:val="auto"/>
        </w:rPr>
        <w:t>immunosensor</w:t>
      </w:r>
      <w:r w:rsidRPr="00B40EB2">
        <w:rPr>
          <w:color w:val="auto"/>
        </w:rPr>
        <w:t xml:space="preserve">. </w:t>
      </w:r>
      <w:r>
        <w:rPr>
          <w:color w:val="auto"/>
        </w:rPr>
        <w:t>Our</w:t>
      </w:r>
      <w:r w:rsidRPr="00B40EB2">
        <w:rPr>
          <w:color w:val="auto"/>
        </w:rPr>
        <w:t xml:space="preserve"> aim is to establish the minimum detection level of IL4 in test solutions, and assess whether these concentration ranges are comparable with biologically-relevant ones. We compared the electrical responses of EGOFETs with gate electrodes functionalized with the different protocols to assess whether controlling the </w:t>
      </w:r>
      <w:r w:rsidRPr="00B40EB2">
        <w:rPr>
          <w:color w:val="auto"/>
        </w:rPr>
        <w:lastRenderedPageBreak/>
        <w:t xml:space="preserve">orientation of the Abs on the surface would enhance the sensing capability of </w:t>
      </w:r>
      <w:r>
        <w:rPr>
          <w:color w:val="auto"/>
        </w:rPr>
        <w:t xml:space="preserve">the </w:t>
      </w:r>
      <w:r w:rsidRPr="00B40EB2">
        <w:rPr>
          <w:color w:val="auto"/>
        </w:rPr>
        <w:t xml:space="preserve">immunosensors. </w:t>
      </w:r>
    </w:p>
    <w:p w:rsidR="0079496D" w:rsidRDefault="0079496D" w:rsidP="0079496D">
      <w:pPr>
        <w:pStyle w:val="TAMainText"/>
        <w:spacing w:after="240"/>
        <w:jc w:val="left"/>
      </w:pPr>
      <w:r w:rsidRPr="00B40EB2">
        <w:rPr>
          <w:color w:val="auto"/>
        </w:rPr>
        <w:t>All the electrical measurements were performed with home-built EGOFETs.</w:t>
      </w:r>
      <w:r w:rsidRPr="00B40EB2">
        <w:t xml:space="preserve"> As mentioned in the experimental methods (4.1), the electronic transducer was fabricated by means of laser ablation.</w:t>
      </w:r>
      <w:r w:rsidR="00B43940" w:rsidRPr="00E51451">
        <w:fldChar w:fldCharType="begin" w:fldLock="1"/>
      </w:r>
      <w:r w:rsidR="00DD1C36" w:rsidRPr="00E51451">
        <w:instrText>ADDIN CSL_CITATION { "citationItems" : [ { "id" : "ITEM-1", "itemData" : { "DOI" : "10.1063/1.4818549", "ISSN" : "00036951", "author" : [ { "dropping-particle" : "", "family" : "Campana", "given" : "Alessandra", "non-dropping-particle" : "", "parse-names" : false, "suffix" : "" }, { "dropping-particle" : "", "family" : "Cramer", "given" : "Tobias", "non-dropping-particle" : "", "parse-names" : false, "suffix" : "" }, { "dropping-particle" : "", "family" : "Greco", "given" : "Pierpaolo", "non-dropping-particle" : "", "parse-names" : false, "suffix" : "" }, { "dropping-particle" : "", "family" : "Foschi", "given" : "Giulia", "non-dropping-particle" : "", "parse-names" : false, "suffix" : "" }, { "dropping-particle" : "", "family" : "Murgia", "given" : "Mauro", "non-dropping-particle" : "", "parse-names" : false, "suffix" : "" }, { "dropping-particle" : "", "family" : "Biscarini", "given" : "Fabio", "non-dropping-particle" : "", "parse-names" : false, "suffix" : "" } ], "container-title" : "Applied Physics Letters", "id" : "ITEM-1", "issue" : "7", "issued" : { "date-parts" : [ [ "2013" ] ] }, "page" : "073302", "title" : "Facile maskless fabrication of organic field effect transistors on biodegradable substrates", "type" : "article-journal", "volume" : "103" }, "uris" : [ "http://www.mendeley.com/documents/?uuid=23497f08-ec69-491e-b6eb-014789cd51e3" ] } ], "mendeley" : { "formattedCitation" : "&lt;sup&gt;70&lt;/sup&gt;", "plainTextFormattedCitation" : "70", "previouslyFormattedCitation" : "&lt;sup&gt;70&lt;/sup&gt;" }, "properties" : { "noteIndex" : 0 }, "schema" : "https://github.com/citation-style-language/schema/raw/master/csl-citation.json" }</w:instrText>
      </w:r>
      <w:r w:rsidR="00B43940" w:rsidRPr="00E51451">
        <w:fldChar w:fldCharType="separate"/>
      </w:r>
      <w:r w:rsidR="00DD1C36" w:rsidRPr="00E51451">
        <w:rPr>
          <w:noProof/>
          <w:vertAlign w:val="superscript"/>
        </w:rPr>
        <w:t>70</w:t>
      </w:r>
      <w:r w:rsidR="00B43940" w:rsidRPr="00E51451">
        <w:fldChar w:fldCharType="end"/>
      </w:r>
      <w:r w:rsidRPr="00B40EB2">
        <w:t xml:space="preserve"> Particular attention has been paid to maximize the </w:t>
      </w:r>
      <w:r w:rsidRPr="00B40EB2">
        <w:rPr>
          <w:i/>
        </w:rPr>
        <w:t>W</w:t>
      </w:r>
      <w:r w:rsidRPr="00B40EB2">
        <w:t>/</w:t>
      </w:r>
      <w:r w:rsidRPr="00B40EB2">
        <w:rPr>
          <w:i/>
        </w:rPr>
        <w:t>L</w:t>
      </w:r>
      <w:r w:rsidRPr="00B40EB2">
        <w:t xml:space="preserve"> ratio, which is the geometrical parameter scaling the drain-source current (</w:t>
      </w:r>
      <w:r w:rsidRPr="00B40EB2">
        <w:rPr>
          <w:i/>
        </w:rPr>
        <w:t>I</w:t>
      </w:r>
      <w:r w:rsidRPr="00B40EB2">
        <w:rPr>
          <w:i/>
          <w:vertAlign w:val="subscript"/>
        </w:rPr>
        <w:t>DS</w:t>
      </w:r>
      <w:r w:rsidRPr="00B40EB2">
        <w:t xml:space="preserve">). This home-built EGOFET has been operated in a buffer solution (100mM of PBS at pH 7) mimicking the physiological </w:t>
      </w:r>
      <w:r w:rsidRPr="00B40EB2">
        <w:rPr>
          <w:color w:val="auto"/>
        </w:rPr>
        <w:t>conditions.</w:t>
      </w:r>
      <w:r w:rsidRPr="00B40EB2">
        <w:t xml:space="preserve"> The buffer solution has been confined on top of the electronic transducer by means of a PDMS pool, as shown in the cross-section of Fig.</w:t>
      </w:r>
      <w:r w:rsidR="001A3410">
        <w:t>2</w:t>
      </w:r>
      <w:r w:rsidRPr="00B40EB2">
        <w:t xml:space="preserve">. </w:t>
      </w:r>
    </w:p>
    <w:p w:rsidR="005F22C5" w:rsidRPr="00B40EB2" w:rsidRDefault="005F22C5" w:rsidP="0079496D">
      <w:pPr>
        <w:pStyle w:val="TAMainText"/>
        <w:spacing w:after="240"/>
        <w:jc w:val="left"/>
      </w:pPr>
      <w:r w:rsidRPr="00B40EB2">
        <w:t xml:space="preserve">Source, drain and gate electrodes were connected to a Keithley 2612 Source Meter. The electrical response was acquired by means of a probe station. All the electrical measurements were carried out in </w:t>
      </w:r>
      <w:r w:rsidR="005A5F4A">
        <w:t>ambient atmosphere</w:t>
      </w:r>
      <w:r w:rsidRPr="00B40EB2">
        <w:t>. The I-V transfer characteristics were performed by sweeping the gate-source voltage (V</w:t>
      </w:r>
      <w:r w:rsidRPr="00B40EB2">
        <w:rPr>
          <w:vertAlign w:val="subscript"/>
        </w:rPr>
        <w:t>GS</w:t>
      </w:r>
      <w:r w:rsidRPr="00B40EB2">
        <w:t>) from +0.2 V to -0.5 V while leaving the drain-source voltage constant at -0.5V (saturation regime) for the reference device. The I-V output characteristics were carried out by sweeping drain-source voltage (V</w:t>
      </w:r>
      <w:r w:rsidRPr="00B40EB2">
        <w:rPr>
          <w:vertAlign w:val="subscript"/>
        </w:rPr>
        <w:t>DS</w:t>
      </w:r>
      <w:r w:rsidRPr="00B40EB2">
        <w:t>) from 0 V to -0.5 V and V</w:t>
      </w:r>
      <w:r w:rsidRPr="00B40EB2">
        <w:rPr>
          <w:vertAlign w:val="subscript"/>
        </w:rPr>
        <w:t>GS</w:t>
      </w:r>
      <w:r w:rsidRPr="00B40EB2">
        <w:t xml:space="preserve"> from 0 V to -0.5 V with step of 0.1 V. The V</w:t>
      </w:r>
      <w:r w:rsidRPr="00B40EB2">
        <w:rPr>
          <w:vertAlign w:val="subscript"/>
        </w:rPr>
        <w:t>GS</w:t>
      </w:r>
      <w:r w:rsidRPr="00B40EB2">
        <w:t xml:space="preserve"> scan rate is 20mV/s and 80mV/s for transfer and output characteristics respectively.</w:t>
      </w:r>
    </w:p>
    <w:p w:rsidR="005F22C5" w:rsidRPr="00B40EB2" w:rsidRDefault="005A5F4A" w:rsidP="005F22C5">
      <w:pPr>
        <w:pStyle w:val="TAMainText"/>
        <w:spacing w:after="240"/>
        <w:ind w:firstLine="0"/>
        <w:jc w:val="left"/>
      </w:pPr>
      <w:r>
        <w:t>Elect</w:t>
      </w:r>
      <w:r w:rsidR="005F22C5" w:rsidRPr="00B40EB2">
        <w:t>rochemical measurements are performed by an usual three-electrodes cell connected to a potentiostat/galvanostat µ-Autolab type III (Metrohm Italiana S.r.l., Varese, Italy), using a polycrystalline Au wire, as working electrode, functionalized with the above-mentioned protocols; a Pt sheet and Ag/AgCl were used as counter and reference electrodes respectively.</w:t>
      </w:r>
    </w:p>
    <w:p w:rsidR="00474E2A" w:rsidRPr="00B40EB2" w:rsidRDefault="00474E2A" w:rsidP="005F22C5">
      <w:pPr>
        <w:pStyle w:val="TAMainText"/>
        <w:spacing w:after="240"/>
        <w:ind w:firstLine="0"/>
        <w:jc w:val="left"/>
        <w:rPr>
          <w:b/>
        </w:rPr>
      </w:pPr>
      <w:r w:rsidRPr="00B40EB2">
        <w:lastRenderedPageBreak/>
        <w:t xml:space="preserve">The </w:t>
      </w:r>
      <w:r w:rsidR="004307E5" w:rsidRPr="00B40EB2">
        <w:t xml:space="preserve">impedance </w:t>
      </w:r>
      <w:r w:rsidRPr="00B40EB2">
        <w:t xml:space="preserve">response is fitted by Randles circuit, which is an equivalent circuit composed by an electrolyte solution resistance, </w:t>
      </w:r>
      <w:r w:rsidRPr="00B40EB2">
        <w:rPr>
          <w:i/>
        </w:rPr>
        <w:t>R</w:t>
      </w:r>
      <w:r w:rsidRPr="00B40EB2">
        <w:rPr>
          <w:i/>
          <w:vertAlign w:val="subscript"/>
        </w:rPr>
        <w:t>S</w:t>
      </w:r>
      <w:r w:rsidRPr="00B40EB2">
        <w:t xml:space="preserve">, a charge transfer resistance, </w:t>
      </w:r>
      <w:r w:rsidRPr="00B40EB2">
        <w:rPr>
          <w:i/>
        </w:rPr>
        <w:t>R</w:t>
      </w:r>
      <w:r w:rsidRPr="00B40EB2">
        <w:rPr>
          <w:i/>
          <w:vertAlign w:val="subscript"/>
        </w:rPr>
        <w:t>CT</w:t>
      </w:r>
      <w:r w:rsidRPr="00B40EB2">
        <w:t xml:space="preserve">, a </w:t>
      </w:r>
      <w:r w:rsidR="00B46BC0">
        <w:t>Debye-Helmhotz</w:t>
      </w:r>
      <w:r w:rsidRPr="00B40EB2">
        <w:t xml:space="preserve"> capacitance, </w:t>
      </w:r>
      <w:r w:rsidRPr="00B40EB2">
        <w:rPr>
          <w:i/>
        </w:rPr>
        <w:t>C</w:t>
      </w:r>
      <w:r w:rsidRPr="00B40EB2">
        <w:rPr>
          <w:i/>
          <w:vertAlign w:val="subscript"/>
        </w:rPr>
        <w:t>dl</w:t>
      </w:r>
      <w:r w:rsidRPr="00B40EB2">
        <w:t xml:space="preserve"> and a Warburg element, </w:t>
      </w:r>
      <w:r w:rsidRPr="00B40EB2">
        <w:rPr>
          <w:i/>
        </w:rPr>
        <w:t>W</w:t>
      </w:r>
      <w:r w:rsidRPr="00B40EB2">
        <w:t xml:space="preserve">. </w:t>
      </w:r>
    </w:p>
    <w:p w:rsidR="005F22C5" w:rsidRPr="00B40EB2" w:rsidRDefault="005F22C5" w:rsidP="008F5D4F">
      <w:pPr>
        <w:pStyle w:val="TAMainText"/>
        <w:spacing w:after="240"/>
        <w:ind w:firstLine="0"/>
        <w:jc w:val="left"/>
        <w:outlineLvl w:val="0"/>
        <w:rPr>
          <w:rFonts w:ascii="Times New Roman" w:hAnsi="Times New Roman" w:cs="Times New Roman"/>
        </w:rPr>
      </w:pPr>
      <w:r w:rsidRPr="00B40EB2">
        <w:rPr>
          <w:b/>
        </w:rPr>
        <w:t>Single molecule force spectroscopy measurements</w:t>
      </w:r>
    </w:p>
    <w:p w:rsidR="00D823CE" w:rsidRDefault="006D792A" w:rsidP="004839B1">
      <w:pPr>
        <w:pStyle w:val="TAMainText"/>
        <w:spacing w:after="240"/>
        <w:ind w:firstLine="0"/>
        <w:jc w:val="left"/>
        <w:rPr>
          <w:kern w:val="24"/>
          <w:shd w:val="clear" w:color="auto" w:fill="FFFFFF"/>
        </w:rPr>
      </w:pPr>
      <w:r w:rsidRPr="00B40EB2">
        <w:rPr>
          <w:kern w:val="24"/>
          <w:shd w:val="clear" w:color="auto" w:fill="FFFFFF"/>
        </w:rPr>
        <w:t>In these experiments, the force dependence on the probe-surface distance is recorded (</w:t>
      </w:r>
      <w:r w:rsidRPr="008E7827">
        <w:rPr>
          <w:i/>
          <w:kern w:val="24"/>
          <w:shd w:val="clear" w:color="auto" w:fill="FFFFFF"/>
        </w:rPr>
        <w:t>viz</w:t>
      </w:r>
      <w:r w:rsidRPr="00B40EB2">
        <w:rPr>
          <w:kern w:val="24"/>
          <w:shd w:val="clear" w:color="auto" w:fill="FFFFFF"/>
        </w:rPr>
        <w:t>. force curve)</w:t>
      </w:r>
      <w:r w:rsidR="00B6216F">
        <w:rPr>
          <w:kern w:val="24"/>
          <w:shd w:val="clear" w:color="auto" w:fill="FFFFFF"/>
        </w:rPr>
        <w:t>, as shown in Fig. 1</w:t>
      </w:r>
      <w:r w:rsidRPr="00B40EB2">
        <w:rPr>
          <w:kern w:val="24"/>
          <w:shd w:val="clear" w:color="auto" w:fill="FFFFFF"/>
        </w:rPr>
        <w:t>. A force curve contains regions that show a smooth variation with the distance. Those regions are interrupted by the presence of sharp changes in the force</w:t>
      </w:r>
      <w:r w:rsidRPr="00B40EB2">
        <w:rPr>
          <w:color w:val="auto"/>
          <w:kern w:val="24"/>
          <w:shd w:val="clear" w:color="auto" w:fill="FFFFFF"/>
        </w:rPr>
        <w:t xml:space="preserve">, which are </w:t>
      </w:r>
      <w:r w:rsidRPr="00B40EB2">
        <w:rPr>
          <w:kern w:val="24"/>
          <w:shd w:val="clear" w:color="auto" w:fill="FFFFFF"/>
        </w:rPr>
        <w:t>associated with molecular recognition interactions, interpreted as the rupture of one or several bonds. The forces measured by force spectroscopy are dynamic in nature</w:t>
      </w:r>
      <w:r w:rsidRPr="00B40EB2">
        <w:rPr>
          <w:color w:val="auto"/>
          <w:kern w:val="24"/>
          <w:shd w:val="clear" w:color="auto" w:fill="FFFFFF"/>
        </w:rPr>
        <w:t>, as they</w:t>
      </w:r>
      <w:r w:rsidRPr="00B40EB2">
        <w:rPr>
          <w:kern w:val="24"/>
          <w:shd w:val="clear" w:color="auto" w:fill="FFFFFF"/>
        </w:rPr>
        <w:t xml:space="preserve"> depend on the loading rate</w:t>
      </w:r>
      <w:r w:rsidR="00B43940" w:rsidRPr="00B40EB2">
        <w:rPr>
          <w:kern w:val="24"/>
          <w:shd w:val="clear" w:color="auto" w:fill="FFFFFF"/>
        </w:rPr>
        <w:fldChar w:fldCharType="begin" w:fldLock="1"/>
      </w:r>
      <w:r w:rsidR="000D48EA">
        <w:rPr>
          <w:kern w:val="24"/>
          <w:shd w:val="clear" w:color="auto" w:fill="FFFFFF"/>
        </w:rPr>
        <w:instrText>ADDIN CSL_CITATION { "citationItems" : [ { "id" : "ITEM-1", "itemData" : { "DOI" : "10.1016/S0006-3495(97)78802-7", "abstract" : "In biology, molecular linkages at, within, and beneath cell interfaces arise mainly from weak noncovalent interactions. These bonds will fail under any level of pulling force if held for sufficient time. Thus, when tested with ultrasensitive force probes, we expect cohesive material strength and strength of adhesion at interfaces to be time- and loading rate-dependent properties. To examine what can be learned from measurements of bond strength, we have extended Kramers' theory for reaction kinetics in liquids to bond dissociation under force and tested the predictions by smart Monte Carlo (Brownian dynamics) simulations of bond rupture. By definition, bond strength is the force that produces the most frequent failure in repeated tests of breakage, i.e., the peak in the distribution of rupture forces. As verified by the simulations, theory shows that bond strength progresses through three dynamic regimes of loading rate. First, bond strength emerges at a critical rate of loading (&gt; or = 0) at which spontaneous dissociation is just frequent enough to keep the distribution peak at zero force. In the slow-loading regime immediately above the critical rate, strength grows as a weak power of loading rate and reflects initial coupling of force to the bonding potential. At higher rates, there is crossover to a fast regime in which strength continues to increase as the logarithm of the loading rate over many decades independent of the type of attraction. Finally, at ultrafast loading rates approaching the domain of molecular dynamics simulations, the bonding potential is quickly overwhelmed by the rapidly increasing force, so that only naked frictional drag on the structure remains to retard separation. Hence, to expose the energy landscape that governs bond strength, molecular adhesion forces must be examined over an enormous span of time scales. However, a significant gap exists between the time domain of force measurements in the laboratory and the extremely fast scale of molecular motions. Using results from a simulation of biotin-avidin bonds (Izrailev, S., S. Stepaniants, M. Balsera, Y. Oono, and K. Schulten. 1997. Molecular dynamics study of unbinding of the avidin-biotin complex. Biophys. J., this issue), we describe how Brownian dynamics can help bridge the gap between molecular dynamics and probe tests.", "author" : [ { "dropping-particle" : "", "family" : "Evans", "given" : "E", "non-dropping-particle" : "", "parse-names" : false, "suffix" : "" }, { "dropping-particle" : "", "family" : "Ritchie", "given" : "K", "non-dropping-particle" : "", "parse-names" : false, "suffix" : "" } ], "container-title" : "Biophysical journal", "id" : "ITEM-1", "issue" : "4", "issued" : { "date-parts" : [ [ "1997" ] ] }, "page" : "1541-1555", "publisher" : "Elsevier", "title" : "Dynamic strength of molecular adhesion bonds", "type" : "article-journal", "volume" : "72" }, "uris" : [ "http://www.mendeley.com/documents/?uuid=772cde48-0bfc-48ee-811e-6fdb37a9b4a3" ] }, { "id" : "ITEM-2", "itemData" : { "DOI" : "10.1038/16219", "ISBN" : "0028-0836 (Print)\n0028-0836", "PMID" : "9892352", "abstract" : "Atomic force microscopy (AFM) has been used to measure the strength of bonds between biological receptor molecules and their ligands. But for weak noncovalent bonds, a dynamic spectrum of bond strengths is predicted as the loading rate is altered, with the measured strength being governed by the prominent barriers traversed in the energy landscape along the force-driven bond-dissociation pathway. In other words, the pioneering early AFM measurements represent only a single point in a continuous spectrum of bond strengths, because theory predicts that these will depend on the rate at which the load is applied. Here we report the strength spectra for the bonds between streptavidin (or avidin) and biotins-the prototype of receptor-ligand interactions used in earlier AFM studies, and which have been modelled by molecular dynamics. We have probed bond formation over six orders of magnitude in loading rate, and find that the bond survival time diminished from about 1 min to 0.001 s with increasing loading rate over this range. The bond strength, meanwhile, increased from about 5 pN to 170 pN. Thus, although they are among the strongest noncovalent linkages in biology (affinity of 10(13) to 10(15) M(-1)), these bonds in fact appear strong or weak depending on how fast they are loaded. We are also able to relate the activation barriers derived from our strength spectra to the shape of the energy landscape derived from simulations of the biotin-avidin complex.", "author" : [ { "dropping-particle" : "", "family" : "Merkel", "given" : "R", "non-dropping-particle" : "", "parse-names" : false, "suffix" : "" }, { "dropping-particle" : "", "family" : "Nassoy", "given" : "P", "non-dropping-particle" : "", "parse-names" : false, "suffix" : "" }, { "dropping-particle" : "", "family" : "Leung", "given" : "A", "non-dropping-particle" : "", "parse-names" : false, "suffix" : "" }, { "dropping-particle" : "", "family" : "Ritchie", "given" : "K", "non-dropping-particle" : "", "parse-names" : false, "suffix" : "" }, { "dropping-particle" : "", "family" : "Evans", "given" : "E", "non-dropping-particle" : "", "parse-names" : false, "suffix" : "" } ], "container-title" : "Nature", "edition" : "1999/01/19", "id" : "ITEM-2", "issue" : "6714", "issued" : { "date-parts" : [ [ "1999" ] ] }, "page" : "50-53", "title" : "Energy landscapes of receptor-ligand bonds explored with dynamic force spectroscopy", "type" : "article-journal", "volume" : "397" }, "uris" : [ "http://www.mendeley.com/documents/?uuid=7c461f70-2414-4cc2-8598-f25c4342012f" ] } ], "mendeley" : { "formattedCitation" : "&lt;sup&gt;27,28&lt;/sup&gt;", "plainTextFormattedCitation" : "27,28", "previouslyFormattedCitation" : "&lt;sup&gt;27,28&lt;/sup&gt;" }, "properties" : { "noteIndex" : 0 }, "schema" : "https://github.com/citation-style-language/schema/raw/master/csl-citation.json" }</w:instrText>
      </w:r>
      <w:r w:rsidR="00B43940" w:rsidRPr="00B40EB2">
        <w:rPr>
          <w:kern w:val="24"/>
          <w:shd w:val="clear" w:color="auto" w:fill="FFFFFF"/>
        </w:rPr>
        <w:fldChar w:fldCharType="separate"/>
      </w:r>
      <w:r w:rsidR="00BE7A46" w:rsidRPr="00B40EB2">
        <w:rPr>
          <w:noProof/>
          <w:kern w:val="24"/>
          <w:shd w:val="clear" w:color="auto" w:fill="FFFFFF"/>
          <w:vertAlign w:val="superscript"/>
        </w:rPr>
        <w:t>27,28</w:t>
      </w:r>
      <w:r w:rsidR="00B43940" w:rsidRPr="00B40EB2">
        <w:rPr>
          <w:kern w:val="24"/>
          <w:shd w:val="clear" w:color="auto" w:fill="FFFFFF"/>
        </w:rPr>
        <w:fldChar w:fldCharType="end"/>
      </w:r>
      <w:r w:rsidRPr="00B40EB2">
        <w:rPr>
          <w:kern w:val="24"/>
          <w:shd w:val="clear" w:color="auto" w:fill="FFFFFF"/>
        </w:rPr>
        <w:t xml:space="preserve"> and electrostatic interactions.</w:t>
      </w:r>
      <w:r w:rsidR="00B43940" w:rsidRPr="00E51451">
        <w:rPr>
          <w:kern w:val="24"/>
          <w:shd w:val="clear" w:color="auto" w:fill="FFFFFF"/>
        </w:rPr>
        <w:fldChar w:fldCharType="begin" w:fldLock="1"/>
      </w:r>
      <w:r w:rsidR="00DD1C36" w:rsidRPr="00E51451">
        <w:rPr>
          <w:kern w:val="24"/>
          <w:shd w:val="clear" w:color="auto" w:fill="FFFFFF"/>
        </w:rPr>
        <w:instrText>ADDIN CSL_CITATION { "citationItems" : [ { "id" : "ITEM-1", "itemData" : { "DOI" : "10.1021/nn400015z", "ISBN" : "1936-0851", "abstract" : "Knowing the dynamic mechanical response of tissue, cells, membranes, proteins, nucleic acids, and carbohydrates to external perturbations is important to understand various biological and biotechnological problems. Atomic force microscopy (AFM)-based approaches are the most frequently used nanotechnologies to determine the mechanical properties of biological samples that range in size from microscopic to (sub)nanoscopic. However, the dynamic nature of biomechanical properties has barely been addressed by AFM imaging. In this work, we characterizethe viscoelastic properties of the native light-driven proton pump bacteriorhodopsin of the purple membrane of Halobacterium salinarum. Using force?distance curve (F?D)-based AFM we imaged purple membranes while force probing their mechanical response over a wide range of loading rates (from ?0.5 to 100 ?N/s). Our results show that the mechanical stiffness of protein and membrane increases with the loading rate up to a factor of 10 (from ?0.3 to 3.2 N/m). In addition, the electrostatic repulsion between AFM tip and sample can alter the mechanical stiffness measured by AFM up to ?60% (from ?0.8 to 1.3 N/m).These findings indicate that the mechanical response of membranes and proteins and probably of other biomolecular systems should be determined at different loading rates to fully understand their properties.", "author" : [ { "dropping-particle" : "", "family" : "Medalsy", "given" : "Izhar D", "non-dropping-particle" : "", "parse-names" : false, "suffix" : "" }, { "dropping-particle" : "", "family" : "M\u00fcller", "given" : "Daniel J", "non-dropping-particle" : "", "parse-names" : false, "suffix" : "" } ], "container-title" : "ACS Nano", "id" : "ITEM-1", "issue" : "3", "issued" : { "date-parts" : [ [ "2013" ] ] }, "page" : "2642-2650", "publisher" : "American Chemical Society", "title" : "Nanomechanical Properties of Proteins and Membranes Depend on Loading Rate and Electrostatic Interactions", "type" : "article-journal", "volume" : "7" }, "uris" : [ "http://www.mendeley.com/documents/?uuid=fad09124-7770-4eb8-bb80-60a5116542d3" ] } ], "mendeley" : { "formattedCitation" : "&lt;sup&gt;29&lt;/sup&gt;", "plainTextFormattedCitation" : "29", "previouslyFormattedCitation" : "&lt;sup&gt;29&lt;/sup&gt;" }, "properties" : { "noteIndex" : 0 }, "schema" : "https://github.com/citation-style-language/schema/raw/master/csl-citation.json" }</w:instrText>
      </w:r>
      <w:r w:rsidR="00B43940" w:rsidRPr="00E51451">
        <w:rPr>
          <w:kern w:val="24"/>
          <w:shd w:val="clear" w:color="auto" w:fill="FFFFFF"/>
        </w:rPr>
        <w:fldChar w:fldCharType="separate"/>
      </w:r>
      <w:r w:rsidR="00581120" w:rsidRPr="00E51451">
        <w:rPr>
          <w:noProof/>
          <w:kern w:val="24"/>
          <w:shd w:val="clear" w:color="auto" w:fill="FFFFFF"/>
          <w:vertAlign w:val="superscript"/>
        </w:rPr>
        <w:t>1</w:t>
      </w:r>
      <w:r w:rsidR="00DD1C36" w:rsidRPr="00E51451">
        <w:rPr>
          <w:noProof/>
          <w:kern w:val="24"/>
          <w:shd w:val="clear" w:color="auto" w:fill="FFFFFF"/>
          <w:vertAlign w:val="superscript"/>
        </w:rPr>
        <w:t>9</w:t>
      </w:r>
      <w:r w:rsidR="00B43940" w:rsidRPr="00E51451">
        <w:rPr>
          <w:kern w:val="24"/>
          <w:shd w:val="clear" w:color="auto" w:fill="FFFFFF"/>
        </w:rPr>
        <w:fldChar w:fldCharType="end"/>
      </w:r>
      <w:r w:rsidRPr="00B40EB2">
        <w:rPr>
          <w:kern w:val="24"/>
          <w:shd w:val="clear" w:color="auto" w:fill="FFFFFF"/>
        </w:rPr>
        <w:t xml:space="preserve"> To certain extent, the electrostatic </w:t>
      </w:r>
      <w:r w:rsidRPr="00B40EB2">
        <w:rPr>
          <w:color w:val="auto"/>
          <w:kern w:val="24"/>
          <w:shd w:val="clear" w:color="auto" w:fill="FFFFFF"/>
        </w:rPr>
        <w:t xml:space="preserve">interactions </w:t>
      </w:r>
      <w:r w:rsidRPr="00B40EB2">
        <w:rPr>
          <w:kern w:val="24"/>
          <w:shd w:val="clear" w:color="auto" w:fill="FFFFFF"/>
        </w:rPr>
        <w:t xml:space="preserve">are controlled by the immobilization protocols applied to a bio-specie of interests on a certain substrate. </w:t>
      </w:r>
    </w:p>
    <w:p w:rsidR="00D823CE" w:rsidRDefault="00D823CE" w:rsidP="004839B1">
      <w:pPr>
        <w:pStyle w:val="TAMainText"/>
        <w:spacing w:after="240"/>
        <w:ind w:firstLine="0"/>
        <w:jc w:val="left"/>
        <w:rPr>
          <w:kern w:val="24"/>
          <w:shd w:val="clear" w:color="auto" w:fill="FFFFFF"/>
        </w:rPr>
      </w:pPr>
      <w:r>
        <w:rPr>
          <w:b/>
        </w:rPr>
        <w:t>Tip functionalization</w:t>
      </w:r>
    </w:p>
    <w:p w:rsidR="005F22C5" w:rsidRPr="004839B1" w:rsidRDefault="00D823CE" w:rsidP="004839B1">
      <w:pPr>
        <w:pStyle w:val="TAMainText"/>
        <w:spacing w:after="240"/>
        <w:ind w:firstLine="0"/>
        <w:jc w:val="left"/>
        <w:rPr>
          <w:color w:val="auto"/>
          <w:kern w:val="24"/>
          <w:shd w:val="clear" w:color="auto" w:fill="FFFFFF"/>
        </w:rPr>
      </w:pPr>
      <w:r>
        <w:rPr>
          <w:color w:val="auto"/>
          <w:kern w:val="24"/>
          <w:shd w:val="clear" w:color="auto" w:fill="FFFFFF"/>
        </w:rPr>
        <w:t>P</w:t>
      </w:r>
      <w:r w:rsidR="005F22C5" w:rsidRPr="00B40EB2">
        <w:rPr>
          <w:rFonts w:ascii="Times New Roman" w:hAnsi="Times New Roman" w:cs="Times New Roman"/>
        </w:rPr>
        <w:t xml:space="preserve">hosphate buffer saline powder which yields 0.01 M phosphate buffered saline (NaCl 0.138 M; KCl 0.0027 M) when </w:t>
      </w:r>
      <w:r w:rsidR="001D275D" w:rsidRPr="00B40EB2">
        <w:rPr>
          <w:rFonts w:ascii="Times New Roman" w:hAnsi="Times New Roman" w:cs="Times New Roman"/>
        </w:rPr>
        <w:t>dissolved</w:t>
      </w:r>
      <w:r w:rsidR="005F22C5" w:rsidRPr="00B40EB2">
        <w:rPr>
          <w:rFonts w:ascii="Times New Roman" w:hAnsi="Times New Roman" w:cs="Times New Roman"/>
        </w:rPr>
        <w:t xml:space="preserve"> in 1 liter of water, hydrogen peroxide 30%, sulphuric acid, 3-aminopropyl-triethoxysilane (APTES), glutaraldehyde 8%, </w:t>
      </w:r>
      <w:r w:rsidR="001D275D" w:rsidRPr="00B40EB2">
        <w:rPr>
          <w:rFonts w:ascii="Times New Roman" w:hAnsi="Times New Roman" w:cs="Times New Roman"/>
        </w:rPr>
        <w:t>6-aminohexanethiol</w:t>
      </w:r>
      <w:r w:rsidR="005F22C5" w:rsidRPr="00B40EB2">
        <w:rPr>
          <w:rFonts w:ascii="Times New Roman" w:hAnsi="Times New Roman" w:cs="Times New Roman"/>
        </w:rPr>
        <w:t xml:space="preserve"> and ethanol were purchased from Sigma Aldrich. The </w:t>
      </w:r>
      <w:r w:rsidR="005F22C5" w:rsidRPr="00B40EB2">
        <w:rPr>
          <w:rStyle w:val="LO-normal"/>
          <w:rFonts w:ascii="Times New Roman" w:hAnsi="Times New Roman" w:cs="Times New Roman"/>
        </w:rPr>
        <w:t>24-unit ethyleneglycol functionalized with succinimidyl and maleimido ends (NHS-PEG</w:t>
      </w:r>
      <w:r w:rsidR="005F22C5" w:rsidRPr="00B40EB2">
        <w:rPr>
          <w:rStyle w:val="LO-normal"/>
          <w:rFonts w:ascii="Times New Roman" w:hAnsi="Times New Roman" w:cs="Times New Roman"/>
          <w:vertAlign w:val="subscript"/>
        </w:rPr>
        <w:t>24</w:t>
      </w:r>
      <w:r w:rsidR="005F22C5" w:rsidRPr="00B40EB2">
        <w:rPr>
          <w:rStyle w:val="LO-normal"/>
          <w:rFonts w:ascii="Times New Roman" w:hAnsi="Times New Roman" w:cs="Times New Roman"/>
        </w:rPr>
        <w:t xml:space="preserve">-Mal) and the sulfhydryl addition kit containing: </w:t>
      </w:r>
      <w:r w:rsidR="005F22C5" w:rsidRPr="00B40EB2">
        <w:rPr>
          <w:rFonts w:ascii="Times New Roman" w:hAnsi="Times New Roman" w:cs="Times New Roman"/>
          <w:bCs/>
        </w:rPr>
        <w:t xml:space="preserve">SATA </w:t>
      </w:r>
      <w:r w:rsidR="005F22C5" w:rsidRPr="00B40EB2">
        <w:rPr>
          <w:rFonts w:ascii="Times New Roman" w:hAnsi="Times New Roman" w:cs="Times New Roman"/>
        </w:rPr>
        <w:t>(</w:t>
      </w:r>
      <w:r w:rsidR="005F22C5" w:rsidRPr="00B40EB2">
        <w:rPr>
          <w:rFonts w:ascii="Times New Roman" w:hAnsi="Times New Roman" w:cs="Times New Roman"/>
          <w:i/>
          <w:iCs/>
        </w:rPr>
        <w:t>N</w:t>
      </w:r>
      <w:r w:rsidR="005F22C5" w:rsidRPr="00B40EB2">
        <w:rPr>
          <w:rFonts w:ascii="Times New Roman" w:hAnsi="Times New Roman" w:cs="Times New Roman"/>
        </w:rPr>
        <w:t>-succinimidyl-S-acetylthioacetate),h</w:t>
      </w:r>
      <w:r w:rsidR="005F22C5" w:rsidRPr="00B40EB2">
        <w:rPr>
          <w:rFonts w:ascii="Times New Roman" w:hAnsi="Times New Roman" w:cs="Times New Roman"/>
          <w:bCs/>
        </w:rPr>
        <w:t>ydroxylamine</w:t>
      </w:r>
      <w:r w:rsidR="005F22C5" w:rsidRPr="00B40EB2">
        <w:rPr>
          <w:rFonts w:ascii="Times New Roman" w:hAnsi="Times New Roman" w:cs="Times New Roman"/>
        </w:rPr>
        <w:t>•</w:t>
      </w:r>
      <w:r w:rsidR="005F22C5" w:rsidRPr="00B40EB2">
        <w:rPr>
          <w:rFonts w:ascii="Times New Roman" w:hAnsi="Times New Roman" w:cs="Times New Roman"/>
          <w:bCs/>
        </w:rPr>
        <w:t>HCl</w:t>
      </w:r>
      <w:r w:rsidR="005F22C5" w:rsidRPr="00B40EB2">
        <w:rPr>
          <w:rFonts w:ascii="Times New Roman" w:hAnsi="Times New Roman" w:cs="Times New Roman"/>
        </w:rPr>
        <w:t xml:space="preserve">, </w:t>
      </w:r>
      <w:r w:rsidR="005F22C5" w:rsidRPr="00B40EB2">
        <w:rPr>
          <w:rFonts w:ascii="Times New Roman" w:hAnsi="Times New Roman" w:cs="Times New Roman"/>
          <w:bCs/>
        </w:rPr>
        <w:t xml:space="preserve">conjugation buffer stock </w:t>
      </w:r>
      <w:r w:rsidR="005F22C5" w:rsidRPr="00B40EB2">
        <w:rPr>
          <w:rFonts w:ascii="Times New Roman" w:hAnsi="Times New Roman" w:cs="Times New Roman"/>
        </w:rPr>
        <w:t>(10X), d</w:t>
      </w:r>
      <w:r w:rsidR="005F22C5" w:rsidRPr="00B40EB2">
        <w:rPr>
          <w:rFonts w:ascii="Times New Roman" w:hAnsi="Times New Roman" w:cs="Times New Roman"/>
          <w:bCs/>
        </w:rPr>
        <w:t xml:space="preserve">imethylformamide and Dextran desalting column were purchased from Thermo Scientific. </w:t>
      </w:r>
      <w:r w:rsidR="005F22C5" w:rsidRPr="00B40EB2">
        <w:rPr>
          <w:rFonts w:ascii="Times New Roman" w:hAnsi="Times New Roman" w:cs="Times New Roman"/>
        </w:rPr>
        <w:t xml:space="preserve">Recombinant protein G, monoclonal anti-murine IL-4 and recombinant murine IL-4 are produced by Biovision (San Francisco, USA). </w:t>
      </w:r>
    </w:p>
    <w:p w:rsidR="005F22C5" w:rsidRPr="00B40EB2" w:rsidRDefault="005F22C5" w:rsidP="005F22C5">
      <w:pPr>
        <w:pStyle w:val="TAMainText"/>
        <w:spacing w:after="240"/>
        <w:ind w:firstLine="0"/>
        <w:jc w:val="left"/>
      </w:pPr>
      <w:r w:rsidRPr="00B40EB2">
        <w:lastRenderedPageBreak/>
        <w:t>AFM silicon nitride tips were first cleaned thoroughly by immersion in a piranha solution  (3:1 concentrated sulfuric acid to 3</w:t>
      </w:r>
      <w:r w:rsidR="005A5F4A">
        <w:t xml:space="preserve">0% hydrogen peroxide solution) </w:t>
      </w:r>
      <w:r w:rsidRPr="00B40EB2">
        <w:t>for 30 minutes. They were then rinsed with nanopure water and dipped into a solution o</w:t>
      </w:r>
      <w:r w:rsidR="001D275D" w:rsidRPr="00B40EB2">
        <w:t>f 3-aminopropyl-triethoxysilane:water:</w:t>
      </w:r>
      <w:r w:rsidR="005A5F4A">
        <w:t>eth</w:t>
      </w:r>
      <w:r w:rsidRPr="00B40EB2">
        <w:t>anol (</w:t>
      </w:r>
      <w:r w:rsidR="001D275D" w:rsidRPr="00B40EB2">
        <w:t xml:space="preserve">ratio </w:t>
      </w:r>
      <w:r w:rsidRPr="00B40EB2">
        <w:t>5:5:95 v/v ) for 30 minutes. Finally, the amino</w:t>
      </w:r>
      <w:r w:rsidR="001D275D" w:rsidRPr="00B40EB2">
        <w:t>-</w:t>
      </w:r>
      <w:r w:rsidRPr="00B40EB2">
        <w:t xml:space="preserve">functionalized tips were rinsed with nanopure water, ethanol and nitrogen dried. </w:t>
      </w:r>
    </w:p>
    <w:p w:rsidR="005F22C5" w:rsidRDefault="005F22C5" w:rsidP="005F22C5">
      <w:pPr>
        <w:pStyle w:val="TAMainText"/>
        <w:spacing w:after="240"/>
        <w:ind w:firstLine="0"/>
        <w:jc w:val="left"/>
      </w:pPr>
      <w:r w:rsidRPr="00B40EB2">
        <w:t>Next, the heterobifunctional NHS-PEG</w:t>
      </w:r>
      <w:r w:rsidRPr="00B40EB2">
        <w:rPr>
          <w:vertAlign w:val="subscript"/>
        </w:rPr>
        <w:t>24</w:t>
      </w:r>
      <w:r w:rsidRPr="00B40EB2">
        <w:t xml:space="preserve">-Mal linker was reacted with the antigen bearing a sulfhydryl group. Prior to that, </w:t>
      </w:r>
      <w:r w:rsidR="00B6216F">
        <w:t xml:space="preserve">a </w:t>
      </w:r>
      <w:r w:rsidRPr="00B40EB2">
        <w:t>free sul</w:t>
      </w:r>
      <w:r w:rsidR="00B6216F">
        <w:t>p</w:t>
      </w:r>
      <w:r w:rsidRPr="00B40EB2">
        <w:t xml:space="preserve">hydryl functionality was added to the antigen using the SATA reagent. A 17.3 mM SATA solution in DMF was added in </w:t>
      </w:r>
      <w:r w:rsidR="005A5F4A">
        <w:t>10</w:t>
      </w:r>
      <w:r w:rsidRPr="00B40EB2">
        <w:t>-fold molar excess to 1 mL of protein. The reaction was incubated for 30 minutes at room temperature. Then, 5 mg Hydroxylamine</w:t>
      </w:r>
      <w:r w:rsidRPr="00B40EB2">
        <w:rPr>
          <w:b/>
        </w:rPr>
        <w:t>·</w:t>
      </w:r>
      <w:r w:rsidRPr="00B40EB2">
        <w:t>HCl was mixed with 100 µl Conjugation Buffer Stock (10X). To de-protect the latent sulfhydryl, 100 µl of hydroxylamine solution was added to the SATA-modified protein and the mixture was incubated for 2 hours at room temperature. The de-protected sul</w:t>
      </w:r>
      <w:r w:rsidR="00807094">
        <w:t>p</w:t>
      </w:r>
      <w:r w:rsidRPr="00B40EB2">
        <w:t>hydryl protein was then added to the equilibrated desalting column to remove non-reacted reagents. The maleimide conjugation buffer was added to the desalting column and 1 mL fractions were collected and the absorbance of each fraction was measured at 280 nm to locate the protein. Fractions containing most of the protein were then reacted with the NHS-PEG</w:t>
      </w:r>
      <w:r w:rsidRPr="00B40EB2">
        <w:rPr>
          <w:vertAlign w:val="subscript"/>
        </w:rPr>
        <w:t>24</w:t>
      </w:r>
      <w:r w:rsidRPr="00B40EB2">
        <w:t>-Mal linker. A 10-fold molar excess of the PEG linker was incubated with the sulfhydryl-modified antigen at 4°C for 12 hours. Finally, the amino</w:t>
      </w:r>
      <w:r w:rsidR="001D275D" w:rsidRPr="00B40EB2">
        <w:t>-</w:t>
      </w:r>
      <w:r w:rsidRPr="00B40EB2">
        <w:t>functionalized AFM tips were immersed in the PEG-antigen solution for 2 hours at room temperature. The tips were rinsed with PBS 0.1 M and stored in a Petri dish at 4°C until further usage.</w:t>
      </w:r>
    </w:p>
    <w:p w:rsidR="00D823CE" w:rsidRPr="00B40EB2" w:rsidRDefault="00D823CE" w:rsidP="005F22C5">
      <w:pPr>
        <w:pStyle w:val="TAMainText"/>
        <w:spacing w:after="240"/>
        <w:ind w:firstLine="0"/>
        <w:jc w:val="left"/>
      </w:pPr>
      <w:r>
        <w:rPr>
          <w:b/>
        </w:rPr>
        <w:t>Substrate functionalization</w:t>
      </w:r>
    </w:p>
    <w:p w:rsidR="005F22C5" w:rsidRPr="00B40EB2" w:rsidRDefault="005F22C5" w:rsidP="005F22C5">
      <w:pPr>
        <w:pStyle w:val="TAMainText"/>
        <w:spacing w:after="240"/>
        <w:ind w:firstLine="0"/>
        <w:jc w:val="left"/>
        <w:rPr>
          <w:rFonts w:ascii="Times New Roman" w:hAnsi="Times New Roman" w:cs="Times New Roman"/>
        </w:rPr>
      </w:pPr>
      <w:r w:rsidRPr="00B40EB2">
        <w:lastRenderedPageBreak/>
        <w:t>The substrates used were mica sheets covered with a 3 nm adhesive Cr layer and a 50 nm thick gold layer.  The antibod</w:t>
      </w:r>
      <w:r w:rsidR="008A2804">
        <w:t>y</w:t>
      </w:r>
      <w:r w:rsidRPr="00B40EB2">
        <w:t xml:space="preserve"> immobilization onto the gold substrate has been performed by following the same protocols used</w:t>
      </w:r>
      <w:r w:rsidR="00807094">
        <w:t xml:space="preserve"> for the gate functionalization.</w:t>
      </w:r>
    </w:p>
    <w:p w:rsidR="00D823CE" w:rsidRDefault="00D823CE" w:rsidP="005F22C5">
      <w:pPr>
        <w:pStyle w:val="TAMainText"/>
        <w:spacing w:after="240"/>
        <w:ind w:firstLine="0"/>
        <w:jc w:val="left"/>
        <w:rPr>
          <w:rFonts w:ascii="Times New Roman" w:hAnsi="Times New Roman" w:cs="Times New Roman"/>
        </w:rPr>
      </w:pPr>
      <w:r>
        <w:rPr>
          <w:b/>
        </w:rPr>
        <w:t>Topography measurements</w:t>
      </w:r>
    </w:p>
    <w:p w:rsidR="005F22C5" w:rsidRPr="00B40EB2" w:rsidRDefault="005F22C5" w:rsidP="005F22C5">
      <w:pPr>
        <w:pStyle w:val="TAMainText"/>
        <w:spacing w:after="240"/>
        <w:ind w:firstLine="0"/>
        <w:jc w:val="left"/>
      </w:pPr>
      <w:r w:rsidRPr="00B40EB2">
        <w:rPr>
          <w:rFonts w:ascii="Times New Roman" w:hAnsi="Times New Roman" w:cs="Times New Roman"/>
        </w:rPr>
        <w:t>Tapping mode AFM was employed to record topographical images of the samples at different functionalization steps in both air and PBS.</w:t>
      </w:r>
      <w:r w:rsidR="00B43940" w:rsidRPr="00E51451">
        <w:rPr>
          <w:rFonts w:ascii="Times New Roman" w:hAnsi="Times New Roman" w:cs="Times New Roman"/>
        </w:rPr>
        <w:fldChar w:fldCharType="begin" w:fldLock="1"/>
      </w:r>
      <w:r w:rsidR="00DD1C36" w:rsidRPr="00E51451">
        <w:rPr>
          <w:rFonts w:ascii="Times New Roman" w:hAnsi="Times New Roman" w:cs="Times New Roman"/>
        </w:rPr>
        <w:instrText>ADDIN CSL_CITATION { "citationItems" : [ { "id" : "ITEM-1", "itemData" : { "author" : [ { "dropping-particle" : "", "family" : "Garc\u0131a", "given" : "Ricardo", "non-dropping-particle" : "", "parse-names" : false, "suffix" : "" }, { "dropping-particle" : "", "family" : "San Paulo", "given" : "Alvaro", "non-dropping-particle" : "", "parse-names" : false, "suffix" : "" } ], "container-title" : "Physical Review B", "id" : "ITEM-1", "issue" : "7", "issued" : { "date-parts" : [ [ "1999" ] ] }, "page" : "4961-4967", "title" : "Attractive and repulsive tip-sample interaction regimes in tapping-mode atomic force microscopy", "type" : "article-journal", "volume" : "60" }, "uris" : [ "http://www.mendeley.com/documents/?uuid=d70aa89e-223b-43a8-b947-730218529428" ] } ], "mendeley" : { "formattedCitation" : "&lt;sup&gt;72&lt;/sup&gt;", "plainTextFormattedCitation" : "72", "previouslyFormattedCitation" : "&lt;sup&gt;72&lt;/sup&gt;" }, "properties" : { "noteIndex" : 0 }, "schema" : "https://github.com/citation-style-language/schema/raw/master/csl-citation.json" }</w:instrText>
      </w:r>
      <w:r w:rsidR="00B43940" w:rsidRPr="00E51451">
        <w:rPr>
          <w:rFonts w:ascii="Times New Roman" w:hAnsi="Times New Roman" w:cs="Times New Roman"/>
        </w:rPr>
        <w:fldChar w:fldCharType="separate"/>
      </w:r>
      <w:r w:rsidR="00DD1C36" w:rsidRPr="00E51451">
        <w:rPr>
          <w:rFonts w:ascii="Times New Roman" w:hAnsi="Times New Roman" w:cs="Times New Roman"/>
          <w:noProof/>
          <w:vertAlign w:val="superscript"/>
        </w:rPr>
        <w:t>72</w:t>
      </w:r>
      <w:r w:rsidR="00B43940" w:rsidRPr="00E51451">
        <w:rPr>
          <w:rFonts w:ascii="Times New Roman" w:hAnsi="Times New Roman" w:cs="Times New Roman"/>
        </w:rPr>
        <w:fldChar w:fldCharType="end"/>
      </w:r>
      <w:r w:rsidRPr="00B40EB2">
        <w:rPr>
          <w:rFonts w:ascii="Times New Roman" w:hAnsi="Times New Roman" w:cs="Times New Roman"/>
        </w:rPr>
        <w:t xml:space="preserve"> Rectangular PPP-NCH (Nanoworld</w:t>
      </w:r>
      <w:r w:rsidR="008A2804">
        <w:rPr>
          <w:rFonts w:ascii="Times New Roman" w:hAnsi="Times New Roman" w:cs="Times New Roman"/>
        </w:rPr>
        <w:t xml:space="preserve"> AG, Switzerland</w:t>
      </w:r>
      <w:r w:rsidRPr="00B40EB2">
        <w:rPr>
          <w:rFonts w:ascii="Times New Roman" w:hAnsi="Times New Roman" w:cs="Times New Roman"/>
        </w:rPr>
        <w:t xml:space="preserve">) cantilevers with a nominal force constant </w:t>
      </w:r>
      <w:r w:rsidRPr="00B40EB2">
        <w:rPr>
          <w:rFonts w:ascii="Times New Roman" w:hAnsi="Times New Roman" w:cs="Times New Roman"/>
          <w:i/>
        </w:rPr>
        <w:t>k</w:t>
      </w:r>
      <w:r w:rsidRPr="00B40EB2">
        <w:rPr>
          <w:rFonts w:ascii="Times New Roman" w:hAnsi="Times New Roman" w:cs="Times New Roman"/>
        </w:rPr>
        <w:t>= 40 N m</w:t>
      </w:r>
      <w:r w:rsidRPr="00B40EB2">
        <w:rPr>
          <w:rFonts w:ascii="Times New Roman" w:hAnsi="Times New Roman" w:cs="Times New Roman"/>
          <w:vertAlign w:val="superscript"/>
        </w:rPr>
        <w:t>-1</w:t>
      </w:r>
      <w:r w:rsidRPr="00B40EB2">
        <w:rPr>
          <w:rFonts w:ascii="Times New Roman" w:hAnsi="Times New Roman" w:cs="Times New Roman"/>
        </w:rPr>
        <w:t xml:space="preserve"> and a resonant frequency of 291 kHz have been used for air measurements. As for the experiments in liquid environment, rectangular OMCL-RC800PSA (Olympus</w:t>
      </w:r>
      <w:r w:rsidR="008A2804">
        <w:rPr>
          <w:rFonts w:ascii="Times New Roman" w:hAnsi="Times New Roman" w:cs="Times New Roman"/>
        </w:rPr>
        <w:t>, Japan</w:t>
      </w:r>
      <w:r w:rsidRPr="00B40EB2">
        <w:rPr>
          <w:rFonts w:ascii="Times New Roman" w:hAnsi="Times New Roman" w:cs="Times New Roman"/>
        </w:rPr>
        <w:t>) with a nominal force constant of 0.4 N/m and a resonant frequency of 33 kHz were employed. The topography measurements were performed in amplitude modulation AFM by driving mechanically the cantilever.</w:t>
      </w:r>
      <w:r w:rsidR="00B43940" w:rsidRPr="00E51451">
        <w:rPr>
          <w:rFonts w:ascii="Times New Roman" w:hAnsi="Times New Roman" w:cs="Times New Roman"/>
        </w:rPr>
        <w:fldChar w:fldCharType="begin" w:fldLock="1"/>
      </w:r>
      <w:r w:rsidR="00DD1C36" w:rsidRPr="00E51451">
        <w:rPr>
          <w:rFonts w:ascii="Times New Roman" w:hAnsi="Times New Roman" w:cs="Times New Roman"/>
        </w:rPr>
        <w:instrText>ADDIN CSL_CITATION { "citationItems" : [ { "id" : "ITEM-1", "itemData" : { "DOI" : "10.1063/1.2794426", "ISSN" : "00036951", "author" : [ { "dropping-particle" : "", "family" : "Herruzo", "given" : "Elena T.", "non-dropping-particle" : "", "parse-names" : false, "suffix" : "" }, { "dropping-particle" : "", "family" : "Garcia", "given" : "Ricardo", "non-dropping-particle" : "", "parse-names" : false, "suffix" : "" } ], "container-title" : "Applied Physics Letters", "id" : "ITEM-1", "issue" : "14", "issued" : { "date-parts" : [ [ "2007" ] ] }, "page" : "143113", "title" : "Frequency response of an atomic force microscope in liquids and air: Magnetic versus acoustic excitation", "type" : "article-journal", "volume" : "91" }, "uris" : [ "http://www.mendeley.com/documents/?uuid=29066bee-380e-4fef-9bda-f088a3f0e78f" ] } ], "mendeley" : { "formattedCitation" : "&lt;sup&gt;73&lt;/sup&gt;", "plainTextFormattedCitation" : "73", "previouslyFormattedCitation" : "&lt;sup&gt;73&lt;/sup&gt;" }, "properties" : { "noteIndex" : 0 }, "schema" : "https://github.com/citation-style-language/schema/raw/master/csl-citation.json" }</w:instrText>
      </w:r>
      <w:r w:rsidR="00B43940" w:rsidRPr="00E51451">
        <w:rPr>
          <w:rFonts w:ascii="Times New Roman" w:hAnsi="Times New Roman" w:cs="Times New Roman"/>
        </w:rPr>
        <w:fldChar w:fldCharType="separate"/>
      </w:r>
      <w:r w:rsidR="00DD1C36" w:rsidRPr="00E51451">
        <w:rPr>
          <w:rFonts w:ascii="Times New Roman" w:hAnsi="Times New Roman" w:cs="Times New Roman"/>
          <w:noProof/>
          <w:vertAlign w:val="superscript"/>
        </w:rPr>
        <w:t>73</w:t>
      </w:r>
      <w:r w:rsidR="00B43940" w:rsidRPr="00E51451">
        <w:rPr>
          <w:rFonts w:ascii="Times New Roman" w:hAnsi="Times New Roman" w:cs="Times New Roman"/>
        </w:rPr>
        <w:fldChar w:fldCharType="end"/>
      </w:r>
    </w:p>
    <w:p w:rsidR="00D823CE" w:rsidRDefault="00D823CE" w:rsidP="005F22C5">
      <w:pPr>
        <w:pStyle w:val="TAMainText"/>
        <w:spacing w:after="240"/>
        <w:ind w:firstLine="0"/>
        <w:jc w:val="left"/>
      </w:pPr>
      <w:r>
        <w:rPr>
          <w:b/>
        </w:rPr>
        <w:t>Single molecule force spectroscopy measurements</w:t>
      </w:r>
    </w:p>
    <w:p w:rsidR="005F22C5" w:rsidRPr="00B40EB2" w:rsidRDefault="005F22C5" w:rsidP="005F22C5">
      <w:pPr>
        <w:pStyle w:val="TAMainText"/>
        <w:spacing w:after="240"/>
        <w:ind w:firstLine="0"/>
        <w:jc w:val="left"/>
      </w:pPr>
      <w:r w:rsidRPr="00B40EB2">
        <w:t>Single molecule force spectroscopy experiments were performed with a Multimode atomic force microscope fitted with a Nanoscope V controller (Brucker, Santa Barbara). The microscope is equipped with a liquid cell where approximately 60 µl of PBS 0.01M pH= 7.4 are introduced in order to carry out the measurements. T</w:t>
      </w:r>
      <w:r w:rsidR="00E420AC">
        <w:t xml:space="preserve">riangular silicon nitride tips </w:t>
      </w:r>
      <w:r w:rsidRPr="00B40EB2">
        <w:t>OTR-4</w:t>
      </w:r>
      <w:r w:rsidR="00E420AC">
        <w:t xml:space="preserve"> (</w:t>
      </w:r>
      <w:r w:rsidRPr="00B40EB2">
        <w:t>Brucker, Santa Barbara) with a spring co</w:t>
      </w:r>
      <w:r w:rsidR="00BD7B36" w:rsidRPr="00B40EB2">
        <w:t>n</w:t>
      </w:r>
      <w:r w:rsidRPr="00B40EB2">
        <w:t>stant of 0.015 – 0.08 N/m and resonant frequency of 1.8 kHz and 8 kHz were used. The force constant and quality factor are determined by using the thermal noise method</w:t>
      </w:r>
      <w:r w:rsidR="00DD1C36">
        <w:t>.</w:t>
      </w:r>
      <w:r w:rsidR="00B43940" w:rsidRPr="00E51451">
        <w:fldChar w:fldCharType="begin" w:fldLock="1"/>
      </w:r>
      <w:r w:rsidR="00DD1C36" w:rsidRPr="00E51451">
        <w:instrText>ADDIN CSL_CITATION { "citationItems" : [ { "id" : "ITEM-1", "itemData" : { "author" : [ { "dropping-particle" : "", "family" : "Butt", "given" : "Hans-Jurgen", "non-dropping-particle" : "", "parse-names" : false, "suffix" : "" }, { "dropping-particle" : "", "family" : "Jaschke", "given" : "Manfred", "non-dropping-particle" : "", "parse-names" : false, "suffix" : "" } ], "container-title" : "Nanotechnology", "id" : "ITEM-1", "issued" : { "date-parts" : [ [ "1995" ] ] }, "page" : "1-7", "title" : "Calculation of thermal noise in atomic force microscopy", "type" : "article-journal", "volume" : "6" }, "uris" : [ "http://www.mendeley.com/documents/?uuid=6151187f-caf9-4ce6-8a9f-e72547d4545c" ] } ], "mendeley" : { "formattedCitation" : "&lt;sup&gt;74&lt;/sup&gt;", "plainTextFormattedCitation" : "74", "previouslyFormattedCitation" : "&lt;sup&gt;74&lt;/sup&gt;" }, "properties" : { "noteIndex" : 0 }, "schema" : "https://github.com/citation-style-language/schema/raw/master/csl-citation.json" }</w:instrText>
      </w:r>
      <w:r w:rsidR="00B43940" w:rsidRPr="00E51451">
        <w:fldChar w:fldCharType="separate"/>
      </w:r>
      <w:r w:rsidR="00DD1C36" w:rsidRPr="00E51451">
        <w:rPr>
          <w:noProof/>
          <w:vertAlign w:val="superscript"/>
        </w:rPr>
        <w:t>74</w:t>
      </w:r>
      <w:r w:rsidR="00B43940" w:rsidRPr="00E51451">
        <w:fldChar w:fldCharType="end"/>
      </w:r>
      <w:r w:rsidR="00DD1C36">
        <w:t xml:space="preserve"> </w:t>
      </w:r>
      <w:r w:rsidRPr="00B40EB2">
        <w:t>At the end of each experiment,</w:t>
      </w:r>
      <w:r w:rsidR="00E420AC">
        <w:t xml:space="preserve"> the optical lever sensitivity </w:t>
      </w:r>
      <w:r w:rsidRPr="00B40EB2">
        <w:t xml:space="preserve">was calibrated by acquiring deflection </w:t>
      </w:r>
      <w:r w:rsidRPr="00E51451">
        <w:rPr>
          <w:i/>
        </w:rPr>
        <w:t>versus</w:t>
      </w:r>
      <w:r w:rsidRPr="00B40EB2">
        <w:t xml:space="preserve"> distance curves on a hard surface (mica). Typically 100 deflection </w:t>
      </w:r>
      <w:r w:rsidR="00E420AC" w:rsidRPr="00E420AC">
        <w:rPr>
          <w:i/>
        </w:rPr>
        <w:t>v</w:t>
      </w:r>
      <w:r w:rsidRPr="00E420AC">
        <w:rPr>
          <w:i/>
        </w:rPr>
        <w:t>s</w:t>
      </w:r>
      <w:r w:rsidRPr="00B40EB2">
        <w:t xml:space="preserve"> distance curves are acquired and the sensitivity of the photodiode is calculated as the mean value. The </w:t>
      </w:r>
      <w:r w:rsidRPr="00B40EB2">
        <w:lastRenderedPageBreak/>
        <w:t xml:space="preserve">force is calculated using Hooke´s law: </w:t>
      </w:r>
      <w:r w:rsidRPr="00B40EB2">
        <w:rPr>
          <w:i/>
        </w:rPr>
        <w:t>F</w:t>
      </w:r>
      <w:r w:rsidRPr="00B40EB2">
        <w:t xml:space="preserve"> = </w:t>
      </w:r>
      <w:r w:rsidRPr="00B40EB2">
        <w:rPr>
          <w:i/>
        </w:rPr>
        <w:t>-kd</w:t>
      </w:r>
      <w:r w:rsidRPr="00B40EB2">
        <w:t xml:space="preserve"> (</w:t>
      </w:r>
      <w:r w:rsidRPr="00B40EB2">
        <w:rPr>
          <w:i/>
        </w:rPr>
        <w:t>d</w:t>
      </w:r>
      <w:r w:rsidRPr="00B40EB2">
        <w:t xml:space="preserve">= cantilever deflection, </w:t>
      </w:r>
      <w:r w:rsidRPr="00B40EB2">
        <w:rPr>
          <w:i/>
        </w:rPr>
        <w:t>k</w:t>
      </w:r>
      <w:r w:rsidRPr="00B40EB2">
        <w:t xml:space="preserve">=cantilever force constant). The applied force was maintained below 600 pN. </w:t>
      </w:r>
    </w:p>
    <w:p w:rsidR="005F22C5" w:rsidRPr="00B40EB2" w:rsidRDefault="005F22C5" w:rsidP="005F22C5">
      <w:pPr>
        <w:pStyle w:val="TAMainText"/>
        <w:spacing w:after="240"/>
        <w:ind w:firstLine="0"/>
        <w:jc w:val="left"/>
      </w:pPr>
      <w:r w:rsidRPr="00B40EB2">
        <w:t>The force curves were acquired in static mode by approaching and retracting the tip toward the sample by 200 nm at different</w:t>
      </w:r>
      <w:r w:rsidR="00E420AC">
        <w:t xml:space="preserve"> velocities (0.5, 1, 2 and 5 Hz</w:t>
      </w:r>
      <w:r w:rsidRPr="00B40EB2">
        <w:t xml:space="preserve">). Each time, the tip was kept in contact with the sample for 0.5 s in order to favor the recognition process.  </w:t>
      </w:r>
    </w:p>
    <w:p w:rsidR="005F22C5" w:rsidRPr="00B40EB2" w:rsidRDefault="005F22C5" w:rsidP="005F22C5">
      <w:pPr>
        <w:pStyle w:val="TAMainText"/>
        <w:spacing w:after="240"/>
        <w:ind w:firstLine="0"/>
        <w:jc w:val="left"/>
      </w:pPr>
      <w:r w:rsidRPr="00B40EB2">
        <w:t xml:space="preserve">Several rounds of control experiments have been performed to check the specificity of the unbinding events. On one hand, force curves of a bare AFM tip interacting with the substrate at each functionalization step for both protocols were recorded. Afterwards, antigen tethering AFM tips were tested against </w:t>
      </w:r>
      <w:r w:rsidR="00BD7B36" w:rsidRPr="00B40EB2">
        <w:t>Au</w:t>
      </w:r>
      <w:r w:rsidRPr="00B40EB2">
        <w:t xml:space="preserve">, </w:t>
      </w:r>
      <w:r w:rsidR="0055670B" w:rsidRPr="00B40EB2">
        <w:rPr>
          <w:rFonts w:cs="Arial"/>
          <w:color w:val="auto"/>
        </w:rPr>
        <w:t>anti-IL4/HSC6NH2/Au</w:t>
      </w:r>
      <w:r w:rsidRPr="00B40EB2">
        <w:t xml:space="preserve"> a</w:t>
      </w:r>
      <w:r w:rsidR="009409E4" w:rsidRPr="00B40EB2">
        <w:t xml:space="preserve">nd </w:t>
      </w:r>
      <w:r w:rsidR="0055670B" w:rsidRPr="00B40EB2">
        <w:rPr>
          <w:rFonts w:cs="Arial"/>
          <w:color w:val="auto"/>
        </w:rPr>
        <w:t>anti-IL4/PG/Au</w:t>
      </w:r>
      <w:r w:rsidR="009409E4" w:rsidRPr="00B40EB2">
        <w:t xml:space="preserve">. </w:t>
      </w:r>
      <w:r w:rsidRPr="00B40EB2">
        <w:t>On the other hand, cross-reactivity experiments have been performed by bringing IL4 antibodies on the substrate in contact with the IL6 antigen on the tip.</w:t>
      </w:r>
    </w:p>
    <w:p w:rsidR="005F22C5" w:rsidRPr="00B40EB2" w:rsidRDefault="005F22C5" w:rsidP="008F5D4F">
      <w:pPr>
        <w:pStyle w:val="TAMainText"/>
        <w:spacing w:after="240"/>
        <w:ind w:firstLine="0"/>
        <w:jc w:val="left"/>
        <w:outlineLvl w:val="0"/>
        <w:rPr>
          <w:rFonts w:cs="Times New Roman"/>
          <w:lang w:eastAsia="en-US"/>
        </w:rPr>
      </w:pPr>
      <w:r w:rsidRPr="00B40EB2">
        <w:rPr>
          <w:b/>
        </w:rPr>
        <w:t>Dynamic force spectroscopy data analysis</w:t>
      </w:r>
    </w:p>
    <w:p w:rsidR="00CC498F" w:rsidRPr="00B40EB2" w:rsidRDefault="005F22C5" w:rsidP="00CC498F">
      <w:pPr>
        <w:pStyle w:val="Tableofcontents"/>
        <w:spacing w:after="240" w:line="480" w:lineRule="auto"/>
        <w:jc w:val="left"/>
        <w:rPr>
          <w:rFonts w:cs="Times New Roman"/>
          <w:lang w:eastAsia="en-US"/>
        </w:rPr>
      </w:pPr>
      <w:r w:rsidRPr="00B40EB2">
        <w:rPr>
          <w:rFonts w:cs="Times New Roman"/>
          <w:lang w:eastAsia="en-US"/>
        </w:rPr>
        <w:t>A total of 16297 force distance curves were analyzed by using customized software in an automated way. The curves were averaged and the contact point was set according to a deflection threshold.  Event recognition was based on the values of the second and third derivatives of the</w:t>
      </w:r>
      <w:r w:rsidR="00E96150">
        <w:rPr>
          <w:rFonts w:cs="Times New Roman"/>
          <w:lang w:eastAsia="en-US"/>
        </w:rPr>
        <w:t xml:space="preserve"> deflection; the event was labe</w:t>
      </w:r>
      <w:r w:rsidRPr="00B40EB2">
        <w:rPr>
          <w:rFonts w:cs="Times New Roman"/>
          <w:lang w:eastAsia="en-US"/>
        </w:rPr>
        <w:t>led as a recognition event whenever the derivatives were found to be above a threshold with respect to the noise level. An algorithm was created to discriminate specific recognition events from surface adhesion events. The algorithm is based on the calculation of the deviation between the deflection curve and the straight line that goes from the peak minimum to the contact with the surface (see Supporting Information</w:t>
      </w:r>
      <w:r w:rsidR="009409E4" w:rsidRPr="00B40EB2">
        <w:rPr>
          <w:rFonts w:cs="Times New Roman"/>
          <w:lang w:eastAsia="en-US"/>
        </w:rPr>
        <w:t xml:space="preserve"> </w:t>
      </w:r>
      <w:r w:rsidR="001A3410">
        <w:rPr>
          <w:rFonts w:cs="Times New Roman"/>
          <w:lang w:eastAsia="en-US"/>
        </w:rPr>
        <w:t>Fig.S4</w:t>
      </w:r>
      <w:r w:rsidRPr="00B40EB2">
        <w:rPr>
          <w:rFonts w:cs="Times New Roman"/>
          <w:lang w:eastAsia="en-US"/>
        </w:rPr>
        <w:t xml:space="preserve">). Tables containing information on specific events for all the experiments were processed and 1D and 2D histograms were extracted. </w:t>
      </w:r>
      <w:bookmarkStart w:id="2" w:name="_GoBack"/>
      <w:bookmarkEnd w:id="2"/>
    </w:p>
    <w:p w:rsidR="00CC498F" w:rsidRPr="00B40EB2" w:rsidRDefault="00CC498F" w:rsidP="00CC498F">
      <w:pPr>
        <w:suppressAutoHyphens w:val="0"/>
        <w:autoSpaceDE w:val="0"/>
        <w:spacing w:after="0" w:line="480" w:lineRule="auto"/>
        <w:jc w:val="left"/>
      </w:pPr>
      <w:r w:rsidRPr="00B40EB2">
        <w:lastRenderedPageBreak/>
        <w:t xml:space="preserve">The dynamics of the IL4 antibody-antigen binding was explored by determining the unbinding force as a function of the unbinding rate. The loading rate is the product between the retract velocity and the spring constant. To account for the contribution of the PEG linker spring constant to the overall spring constant of the system, the loading rate was extracted from the slope of the force curve before unbinding occurs. The plots in </w:t>
      </w:r>
      <w:r w:rsidR="00B6216F">
        <w:t>Fig.</w:t>
      </w:r>
      <w:r w:rsidRPr="00B40EB2">
        <w:t xml:space="preserve"> S</w:t>
      </w:r>
      <w:r w:rsidR="00B6216F">
        <w:t>5</w:t>
      </w:r>
      <w:r w:rsidRPr="00B40EB2">
        <w:t xml:space="preserve"> display the linear increase of the most probable unbinding force with the logarithm of the loading rate for the two antibody immobilization protocols. This characteristic behavior for a thermally activated dissociation process under an applied load has been previously observed for other antibody-antigen complexes. </w:t>
      </w:r>
    </w:p>
    <w:p w:rsidR="00CC498F" w:rsidRPr="00B40EB2" w:rsidRDefault="00CC498F" w:rsidP="00CC498F">
      <w:pPr>
        <w:pStyle w:val="Tableofcontents"/>
        <w:spacing w:after="240" w:line="480" w:lineRule="auto"/>
        <w:jc w:val="left"/>
      </w:pPr>
      <w:r w:rsidRPr="00B40EB2">
        <w:t xml:space="preserve">To determine the kinetic parameters of the molecular recognition process, the length of the energy barrier, </w:t>
      </w:r>
      <w:r w:rsidRPr="00B40EB2">
        <w:rPr>
          <w:i/>
        </w:rPr>
        <w:t>x</w:t>
      </w:r>
      <w:r w:rsidRPr="00B40EB2">
        <w:rPr>
          <w:i/>
          <w:vertAlign w:val="subscript"/>
        </w:rPr>
        <w:t>β</w:t>
      </w:r>
      <w:r w:rsidRPr="00B40EB2">
        <w:t xml:space="preserve">, was determined from the slope of linear fit of the unbinding forces vs. loading rate logarithm plot (see Eq.1). Next, the kinetic off-rate constant of dissociation at zero force was calculated by extrapolation to zero forces. Antibody-antigen complexes have limited lifetimes, which are shortened by thermal activation under an applied force. The characteristic time needed for the spontaneous dissociation, </w:t>
      </w:r>
      <w:r w:rsidRPr="00B40EB2">
        <w:rPr>
          <w:i/>
        </w:rPr>
        <w:t>τ</w:t>
      </w:r>
      <w:r w:rsidRPr="00B40EB2">
        <w:t>, is given by the inverse of the kinetic off-rate constant and can be correlated with the specificity of the recognition process as well as the stability of the complex.</w:t>
      </w:r>
    </w:p>
    <w:p w:rsidR="005F22C5" w:rsidRPr="00B40EB2" w:rsidRDefault="005F22C5" w:rsidP="005F22C5">
      <w:pPr>
        <w:pageBreakBefore/>
        <w:spacing w:after="240" w:line="480" w:lineRule="auto"/>
        <w:jc w:val="left"/>
        <w:rPr>
          <w:rFonts w:ascii="Arial" w:hAnsi="Arial" w:cs="Arial"/>
        </w:rPr>
      </w:pPr>
    </w:p>
    <w:p w:rsidR="005F22C5" w:rsidRDefault="005F22C5" w:rsidP="008F5D4F">
      <w:pPr>
        <w:pStyle w:val="VAFigureCaption"/>
        <w:spacing w:after="240"/>
        <w:jc w:val="left"/>
        <w:outlineLvl w:val="0"/>
        <w:rPr>
          <w:b/>
        </w:rPr>
      </w:pPr>
      <w:r w:rsidRPr="00B40EB2">
        <w:rPr>
          <w:b/>
        </w:rPr>
        <w:t>FIGURES</w:t>
      </w:r>
    </w:p>
    <w:p w:rsidR="00473AA9" w:rsidRDefault="00473AA9" w:rsidP="008F5D4F">
      <w:pPr>
        <w:pStyle w:val="VAFigureCaption"/>
        <w:spacing w:after="240"/>
        <w:jc w:val="left"/>
        <w:outlineLvl w:val="0"/>
        <w:rPr>
          <w:b/>
        </w:rPr>
      </w:pPr>
      <w:r w:rsidRPr="00B40EB2">
        <w:rPr>
          <w:noProof/>
          <w:lang w:val="es-ES" w:eastAsia="es-ES"/>
        </w:rPr>
        <w:drawing>
          <wp:inline distT="0" distB="0" distL="0" distR="0">
            <wp:extent cx="5936400" cy="2138400"/>
            <wp:effectExtent l="0" t="0" r="7620" b="0"/>
            <wp:docPr id="8" name="Imagen 8"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2"/>
                    <pic:cNvPicPr>
                      <a:picLocks noChangeAspect="1" noChangeArrowheads="1"/>
                    </pic:cNvPicPr>
                  </pic:nvPicPr>
                  <pic:blipFill>
                    <a:blip r:embed="rId26"/>
                    <a:srcRect/>
                    <a:stretch>
                      <a:fillRect/>
                    </a:stretch>
                  </pic:blipFill>
                  <pic:spPr bwMode="auto">
                    <a:xfrm>
                      <a:off x="0" y="0"/>
                      <a:ext cx="5936400" cy="2138400"/>
                    </a:xfrm>
                    <a:prstGeom prst="rect">
                      <a:avLst/>
                    </a:prstGeom>
                    <a:noFill/>
                    <a:ln w="9525">
                      <a:noFill/>
                      <a:miter lim="800000"/>
                      <a:headEnd/>
                      <a:tailEnd/>
                    </a:ln>
                  </pic:spPr>
                </pic:pic>
              </a:graphicData>
            </a:graphic>
          </wp:inline>
        </w:drawing>
      </w:r>
    </w:p>
    <w:p w:rsidR="00473AA9" w:rsidRDefault="00473AA9" w:rsidP="00473AA9">
      <w:pPr>
        <w:pStyle w:val="VAFigureCaption"/>
        <w:spacing w:after="240" w:line="240" w:lineRule="auto"/>
        <w:jc w:val="left"/>
        <w:outlineLvl w:val="0"/>
      </w:pPr>
      <w:r w:rsidRPr="00B40EB2">
        <w:rPr>
          <w:b/>
        </w:rPr>
        <w:t xml:space="preserve">Figure </w:t>
      </w:r>
      <w:r>
        <w:rPr>
          <w:b/>
        </w:rPr>
        <w:t>1</w:t>
      </w:r>
      <w:r w:rsidRPr="00B40EB2">
        <w:t>. (Left) Schematics of a force-distance plot (force curve). As the tip approaches the sample</w:t>
      </w:r>
      <w:r w:rsidR="00B6216F">
        <w:t xml:space="preserve"> and the</w:t>
      </w:r>
      <w:r w:rsidRPr="00B40EB2">
        <w:t xml:space="preserve"> contact is established the repulsive forces cause the tip to bend upwards (red line). The tip is then retracted (blue line). If a recognition </w:t>
      </w:r>
      <w:r w:rsidRPr="00B40EB2">
        <w:rPr>
          <w:color w:val="auto"/>
        </w:rPr>
        <w:t xml:space="preserve">event occurs, </w:t>
      </w:r>
      <w:r w:rsidRPr="00B40EB2">
        <w:t>adhesion forces will make the tip to bend downward during retraction. When force gradient exceeds the spring constant of the cantilever, the probe jumps out of contact to its initial position. The unbinding force of the antibody-antigen pair is the maximum adhesive force, estimated as the vertical difference between the baseline and the minimum force at retraction. Unbinding length is the difference between the tip-sample distance where the unbinding event occurs and the contact point. Discrimination of specific and unspecific binding events relies on the estimate of the gradient of the force near the detachment point. Details are found in Supporting Information. (Center) Scheme of the AFM tip functionalization. IL-4- PEG linker complex is attached to an amino-functionalized AFM tip. (Right) Real force curve shows a specific unbinding event.</w:t>
      </w:r>
    </w:p>
    <w:p w:rsidR="00473AA9" w:rsidRDefault="00473AA9">
      <w:pPr>
        <w:suppressAutoHyphens w:val="0"/>
        <w:spacing w:after="0"/>
        <w:jc w:val="left"/>
      </w:pPr>
      <w:r>
        <w:br w:type="page"/>
      </w:r>
    </w:p>
    <w:p w:rsidR="00473AA9" w:rsidRPr="00B40EB2" w:rsidRDefault="00473AA9" w:rsidP="00473AA9">
      <w:pPr>
        <w:pStyle w:val="VAFigureCaption"/>
        <w:spacing w:after="240" w:line="240" w:lineRule="auto"/>
        <w:jc w:val="left"/>
        <w:outlineLvl w:val="0"/>
        <w:rPr>
          <w:b/>
        </w:rPr>
      </w:pPr>
    </w:p>
    <w:p w:rsidR="00E3768B" w:rsidRPr="00B40EB2" w:rsidRDefault="006201C3" w:rsidP="00E3768B">
      <w:pPr>
        <w:pStyle w:val="VAFigureCaption"/>
        <w:keepNext/>
        <w:spacing w:after="240"/>
        <w:jc w:val="left"/>
      </w:pPr>
      <w:r w:rsidRPr="00B40EB2">
        <w:rPr>
          <w:noProof/>
          <w:lang w:val="es-ES" w:eastAsia="es-ES"/>
        </w:rPr>
        <w:drawing>
          <wp:inline distT="0" distB="0" distL="0" distR="0">
            <wp:extent cx="5936400" cy="1980000"/>
            <wp:effectExtent l="0" t="0" r="7620" b="1270"/>
            <wp:docPr id="7" name="Imagen 7"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1"/>
                    <pic:cNvPicPr>
                      <a:picLocks noChangeAspect="1" noChangeArrowheads="1"/>
                    </pic:cNvPicPr>
                  </pic:nvPicPr>
                  <pic:blipFill>
                    <a:blip r:embed="rId27"/>
                    <a:srcRect/>
                    <a:stretch>
                      <a:fillRect/>
                    </a:stretch>
                  </pic:blipFill>
                  <pic:spPr bwMode="auto">
                    <a:xfrm>
                      <a:off x="0" y="0"/>
                      <a:ext cx="5936400" cy="1980000"/>
                    </a:xfrm>
                    <a:prstGeom prst="rect">
                      <a:avLst/>
                    </a:prstGeom>
                    <a:noFill/>
                    <a:ln w="9525">
                      <a:noFill/>
                      <a:miter lim="800000"/>
                      <a:headEnd/>
                      <a:tailEnd/>
                    </a:ln>
                  </pic:spPr>
                </pic:pic>
              </a:graphicData>
            </a:graphic>
          </wp:inline>
        </w:drawing>
      </w:r>
    </w:p>
    <w:p w:rsidR="00370021" w:rsidRPr="00B40EB2" w:rsidRDefault="00E3768B" w:rsidP="00370021">
      <w:pPr>
        <w:pStyle w:val="VAFigureCaption"/>
        <w:keepNext/>
        <w:spacing w:after="240" w:line="240" w:lineRule="auto"/>
      </w:pPr>
      <w:r w:rsidRPr="00B40EB2">
        <w:rPr>
          <w:b/>
        </w:rPr>
        <w:t xml:space="preserve">Figure </w:t>
      </w:r>
      <w:r w:rsidR="00473AA9">
        <w:rPr>
          <w:b/>
        </w:rPr>
        <w:t>2</w:t>
      </w:r>
      <w:r w:rsidRPr="00B40EB2">
        <w:rPr>
          <w:b/>
        </w:rPr>
        <w:t xml:space="preserve"> </w:t>
      </w:r>
      <w:r w:rsidRPr="00B40EB2">
        <w:t xml:space="preserve">On the left, a </w:t>
      </w:r>
      <w:r w:rsidR="00E96150">
        <w:t>schematic</w:t>
      </w:r>
      <w:r w:rsidRPr="00B40EB2">
        <w:t xml:space="preserve"> EGOFET cross</w:t>
      </w:r>
      <w:r w:rsidR="00E96150">
        <w:t>-</w:t>
      </w:r>
      <w:r w:rsidRPr="00B40EB2">
        <w:t>section along with a</w:t>
      </w:r>
      <w:r w:rsidR="00E96150">
        <w:t xml:space="preserve"> sketch of the</w:t>
      </w:r>
      <w:r w:rsidRPr="00B40EB2">
        <w:t xml:space="preserve"> magnification of the gate/electrolyte inte</w:t>
      </w:r>
      <w:r w:rsidR="00E96150">
        <w:t>rface</w:t>
      </w:r>
      <w:r w:rsidRPr="00B40EB2">
        <w:t>. On the right,</w:t>
      </w:r>
      <w:r w:rsidRPr="00B40EB2">
        <w:rPr>
          <w:b/>
        </w:rPr>
        <w:t xml:space="preserve"> </w:t>
      </w:r>
      <w:r w:rsidRPr="00B40EB2">
        <w:t xml:space="preserve">I-V output characteristics of a reference device. </w:t>
      </w:r>
    </w:p>
    <w:p w:rsidR="004307E5" w:rsidRPr="00B40EB2" w:rsidRDefault="00866095" w:rsidP="00473AA9">
      <w:pPr>
        <w:suppressAutoHyphens w:val="0"/>
        <w:spacing w:after="0"/>
        <w:jc w:val="left"/>
      </w:pPr>
      <w:r w:rsidRPr="00B40EB2">
        <w:br w:type="page"/>
      </w:r>
    </w:p>
    <w:p w:rsidR="004307E5" w:rsidRPr="00B40EB2" w:rsidRDefault="004307E5">
      <w:pPr>
        <w:suppressAutoHyphens w:val="0"/>
        <w:spacing w:after="0"/>
        <w:jc w:val="left"/>
      </w:pPr>
    </w:p>
    <w:p w:rsidR="004307E5" w:rsidRPr="00B40EB2" w:rsidRDefault="004307E5" w:rsidP="005F22C5">
      <w:pPr>
        <w:pStyle w:val="VAFigureCaption"/>
        <w:spacing w:after="240"/>
        <w:jc w:val="left"/>
      </w:pPr>
      <w:r w:rsidRPr="00B40EB2">
        <w:rPr>
          <w:noProof/>
          <w:lang w:val="es-ES" w:eastAsia="es-ES"/>
        </w:rPr>
        <w:drawing>
          <wp:inline distT="0" distB="0" distL="0" distR="0">
            <wp:extent cx="5936400" cy="2062800"/>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36400" cy="2062800"/>
                    </a:xfrm>
                    <a:prstGeom prst="rect">
                      <a:avLst/>
                    </a:prstGeom>
                    <a:solidFill>
                      <a:srgbClr val="FFFFFF"/>
                    </a:solidFill>
                    <a:ln>
                      <a:noFill/>
                    </a:ln>
                  </pic:spPr>
                </pic:pic>
              </a:graphicData>
            </a:graphic>
          </wp:inline>
        </w:drawing>
      </w:r>
    </w:p>
    <w:p w:rsidR="004307E5" w:rsidRPr="00B40EB2" w:rsidRDefault="004307E5" w:rsidP="004307E5">
      <w:pPr>
        <w:pStyle w:val="VAFigureCaption"/>
        <w:spacing w:after="240" w:line="240" w:lineRule="auto"/>
        <w:jc w:val="left"/>
      </w:pPr>
      <w:r w:rsidRPr="00B40EB2">
        <w:rPr>
          <w:b/>
        </w:rPr>
        <w:t>Figure 3 (a)</w:t>
      </w:r>
      <w:r w:rsidRPr="00B40EB2">
        <w:t xml:space="preserve"> Cyclic voltammograms of the ferricyanide signal at neutral and basic pH</w:t>
      </w:r>
      <w:r w:rsidR="007D4D7E">
        <w:t xml:space="preserve"> </w:t>
      </w:r>
      <w:r w:rsidR="007D4D7E" w:rsidRPr="004F5851">
        <w:t xml:space="preserve">at a polycrystalline gold electrode functionalized with </w:t>
      </w:r>
      <w:r w:rsidR="007D4D7E" w:rsidRPr="004F5851">
        <w:rPr>
          <w:rFonts w:cs="Arial"/>
          <w:color w:val="auto"/>
        </w:rPr>
        <w:t>HSC6NH2</w:t>
      </w:r>
      <w:r w:rsidRPr="00B40EB2">
        <w:t xml:space="preserve">. </w:t>
      </w:r>
      <w:r w:rsidRPr="00B40EB2">
        <w:rPr>
          <w:b/>
        </w:rPr>
        <w:t>(b)</w:t>
      </w:r>
      <w:r w:rsidRPr="00B40EB2">
        <w:t xml:space="preserve"> Impedance spectroscopy for bare Au (black filled squares), PG adsorption (red </w:t>
      </w:r>
      <w:r w:rsidR="007D54DE" w:rsidRPr="00B40EB2">
        <w:t xml:space="preserve">filled circles) and PG elution </w:t>
      </w:r>
      <w:r w:rsidRPr="00B40EB2">
        <w:t>mediated by imidazole exposure (blue filled triangles).</w:t>
      </w:r>
    </w:p>
    <w:p w:rsidR="004307E5" w:rsidRPr="00B40EB2" w:rsidRDefault="004307E5" w:rsidP="004307E5">
      <w:pPr>
        <w:suppressAutoHyphens w:val="0"/>
        <w:spacing w:after="0"/>
        <w:jc w:val="left"/>
      </w:pPr>
      <w:r w:rsidRPr="00B40EB2">
        <w:br w:type="page"/>
      </w:r>
    </w:p>
    <w:p w:rsidR="00DC0166" w:rsidRPr="00B40EB2" w:rsidRDefault="006201C3" w:rsidP="00DC0166">
      <w:pPr>
        <w:pStyle w:val="VAFigureCaption"/>
        <w:keepNext/>
        <w:spacing w:after="240"/>
        <w:jc w:val="left"/>
      </w:pPr>
      <w:r w:rsidRPr="00B40EB2">
        <w:rPr>
          <w:noProof/>
          <w:lang w:val="es-ES" w:eastAsia="es-ES"/>
        </w:rPr>
        <w:lastRenderedPageBreak/>
        <w:drawing>
          <wp:inline distT="0" distB="0" distL="0" distR="0">
            <wp:extent cx="5936400" cy="2930400"/>
            <wp:effectExtent l="0" t="0" r="7620" b="3810"/>
            <wp:docPr id="9" name="Imagen 9"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3"/>
                    <pic:cNvPicPr>
                      <a:picLocks noChangeAspect="1" noChangeArrowheads="1"/>
                    </pic:cNvPicPr>
                  </pic:nvPicPr>
                  <pic:blipFill>
                    <a:blip r:embed="rId29"/>
                    <a:srcRect/>
                    <a:stretch>
                      <a:fillRect/>
                    </a:stretch>
                  </pic:blipFill>
                  <pic:spPr bwMode="auto">
                    <a:xfrm>
                      <a:off x="0" y="0"/>
                      <a:ext cx="5936400" cy="2930400"/>
                    </a:xfrm>
                    <a:prstGeom prst="rect">
                      <a:avLst/>
                    </a:prstGeom>
                    <a:noFill/>
                    <a:ln w="9525">
                      <a:noFill/>
                      <a:miter lim="800000"/>
                      <a:headEnd/>
                      <a:tailEnd/>
                    </a:ln>
                  </pic:spPr>
                </pic:pic>
              </a:graphicData>
            </a:graphic>
          </wp:inline>
        </w:drawing>
      </w:r>
    </w:p>
    <w:p w:rsidR="007F16F4" w:rsidRPr="00B40EB2" w:rsidRDefault="00DC0166" w:rsidP="00DC0166">
      <w:pPr>
        <w:pStyle w:val="Epgrafe"/>
        <w:jc w:val="left"/>
        <w:rPr>
          <w:i w:val="0"/>
        </w:rPr>
      </w:pPr>
      <w:r w:rsidRPr="00B40EB2">
        <w:rPr>
          <w:b/>
          <w:i w:val="0"/>
        </w:rPr>
        <w:t xml:space="preserve">Figure </w:t>
      </w:r>
      <w:r w:rsidR="001A164A" w:rsidRPr="00B40EB2">
        <w:rPr>
          <w:b/>
          <w:i w:val="0"/>
        </w:rPr>
        <w:t>4</w:t>
      </w:r>
      <w:r w:rsidRPr="00B40EB2">
        <w:rPr>
          <w:b/>
          <w:i w:val="0"/>
        </w:rPr>
        <w:t xml:space="preserve"> </w:t>
      </w:r>
      <w:r w:rsidRPr="00B40EB2">
        <w:rPr>
          <w:i w:val="0"/>
        </w:rPr>
        <w:t>Nyquist plots of</w:t>
      </w:r>
      <w:r w:rsidR="004C1C60" w:rsidRPr="00B40EB2">
        <w:rPr>
          <w:i w:val="0"/>
        </w:rPr>
        <w:t xml:space="preserve"> </w:t>
      </w:r>
      <w:r w:rsidR="004C1C60" w:rsidRPr="00B40EB2">
        <w:rPr>
          <w:b/>
          <w:i w:val="0"/>
        </w:rPr>
        <w:t xml:space="preserve">(a) </w:t>
      </w:r>
      <w:r w:rsidRPr="00B40EB2">
        <w:rPr>
          <w:i w:val="0"/>
        </w:rPr>
        <w:t xml:space="preserve">HSC6NH2- </w:t>
      </w:r>
      <w:r w:rsidR="004C1C60" w:rsidRPr="00B40EB2">
        <w:rPr>
          <w:i w:val="0"/>
        </w:rPr>
        <w:t xml:space="preserve">and </w:t>
      </w:r>
      <w:r w:rsidR="004C1C60" w:rsidRPr="00B40EB2">
        <w:rPr>
          <w:b/>
          <w:i w:val="0"/>
        </w:rPr>
        <w:t xml:space="preserve">(b) </w:t>
      </w:r>
      <w:r w:rsidRPr="00B40EB2">
        <w:rPr>
          <w:i w:val="0"/>
        </w:rPr>
        <w:t>PG-mediated treatment. On the upper part of these plots, a cartoon of the two functionalization strategies</w:t>
      </w:r>
      <w:r w:rsidR="008F55E8" w:rsidRPr="00B40EB2">
        <w:rPr>
          <w:i w:val="0"/>
        </w:rPr>
        <w:t xml:space="preserve"> is shown</w:t>
      </w:r>
      <w:r w:rsidRPr="00B40EB2">
        <w:rPr>
          <w:i w:val="0"/>
        </w:rPr>
        <w:t>.</w:t>
      </w:r>
    </w:p>
    <w:p w:rsidR="001E6D98" w:rsidRPr="00B40EB2" w:rsidRDefault="001E6D98" w:rsidP="001E6D98">
      <w:pPr>
        <w:suppressAutoHyphens w:val="0"/>
        <w:spacing w:after="0"/>
        <w:jc w:val="left"/>
        <w:rPr>
          <w:rFonts w:cs="Lohit Hindi"/>
          <w:iCs/>
        </w:rPr>
      </w:pPr>
      <w:r w:rsidRPr="00B40EB2">
        <w:rPr>
          <w:i/>
        </w:rPr>
        <w:br w:type="page"/>
      </w:r>
    </w:p>
    <w:p w:rsidR="001E6D98" w:rsidRPr="00B40EB2" w:rsidRDefault="00B43940" w:rsidP="001E6D98">
      <w:pPr>
        <w:keepNext/>
        <w:jc w:val="center"/>
      </w:pPr>
      <w:r w:rsidRPr="00B43940">
        <w:rPr>
          <w:noProof/>
          <w:lang w:val="it-IT" w:eastAsia="it-IT"/>
        </w:rPr>
      </w:r>
      <w:r w:rsidRPr="00B43940">
        <w:rPr>
          <w:noProof/>
          <w:lang w:val="it-IT" w:eastAsia="it-IT"/>
        </w:rPr>
        <w:pict>
          <v:rect id="Rectangle 23" o:spid="_x0000_s1028" style="width:.05pt;height:.05pt;visibility:visible;mso-wrap-style:none;mso-left-percent:-10001;mso-top-percent:-10001;mso-position-horizontal:absolute;mso-position-horizontal-relative:char;mso-position-vertical:absolute;mso-position-vertical-relative:line;mso-left-percent:-10001;mso-top-percent:-10001;v-text-anchor:middle" stroked="f" strokecolor="#3465af">
            <v:stroke joinstyle="round"/>
            <w10:wrap type="none"/>
            <w10:anchorlock/>
          </v:rect>
        </w:pict>
      </w:r>
      <w:r w:rsidRPr="00B43940">
        <w:rPr>
          <w:noProof/>
          <w:lang w:val="it-IT" w:eastAsia="it-IT"/>
        </w:rPr>
      </w:r>
      <w:r>
        <w:rPr>
          <w:noProof/>
          <w:lang w:val="it-IT" w:eastAsia="it-IT"/>
        </w:rPr>
        <w:pict>
          <v:rect id="Rectangle 22" o:spid="_x0000_s1027" style="width:.05pt;height:.05pt;visibility:visible;mso-wrap-style:none;mso-left-percent:-10001;mso-top-percent:-10001;mso-position-horizontal:absolute;mso-position-horizontal-relative:char;mso-position-vertical:absolute;mso-position-vertical-relative:line;mso-left-percent:-10001;mso-top-percent:-10001;v-text-anchor:middle" stroked="f" strokecolor="#3465af">
            <v:stroke joinstyle="round"/>
            <w10:wrap type="none"/>
            <w10:anchorlock/>
          </v:rect>
        </w:pict>
      </w:r>
      <w:r w:rsidR="008C50D9">
        <w:rPr>
          <w:noProof/>
          <w:lang w:val="es-ES" w:eastAsia="es-ES"/>
        </w:rPr>
        <w:drawing>
          <wp:inline distT="0" distB="0" distL="0" distR="0">
            <wp:extent cx="5936400" cy="5104800"/>
            <wp:effectExtent l="0" t="0" r="7620" b="63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png"/>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936400" cy="5104800"/>
                    </a:xfrm>
                    <a:prstGeom prst="rect">
                      <a:avLst/>
                    </a:prstGeom>
                  </pic:spPr>
                </pic:pic>
              </a:graphicData>
            </a:graphic>
          </wp:inline>
        </w:drawing>
      </w:r>
    </w:p>
    <w:p w:rsidR="001E6D98" w:rsidRPr="00B40EB2" w:rsidRDefault="001E6D98" w:rsidP="001E6D98">
      <w:pPr>
        <w:pStyle w:val="Epgrafe"/>
        <w:jc w:val="left"/>
        <w:rPr>
          <w:i w:val="0"/>
        </w:rPr>
      </w:pPr>
      <w:r w:rsidRPr="00B40EB2">
        <w:rPr>
          <w:b/>
          <w:i w:val="0"/>
        </w:rPr>
        <w:t xml:space="preserve">Figure 5 </w:t>
      </w:r>
      <w:r w:rsidRPr="00B40EB2">
        <w:rPr>
          <w:i w:val="0"/>
        </w:rPr>
        <w:t xml:space="preserve">AFM images on bare gold </w:t>
      </w:r>
      <w:r w:rsidRPr="00B40EB2">
        <w:rPr>
          <w:b/>
          <w:i w:val="0"/>
        </w:rPr>
        <w:t>(a)</w:t>
      </w:r>
      <w:r w:rsidRPr="00B40EB2">
        <w:rPr>
          <w:i w:val="0"/>
        </w:rPr>
        <w:t>, PG</w:t>
      </w:r>
      <w:r w:rsidR="0055670B" w:rsidRPr="00B40EB2">
        <w:rPr>
          <w:i w:val="0"/>
        </w:rPr>
        <w:t>-coate</w:t>
      </w:r>
      <w:r w:rsidR="00FF5E38" w:rsidRPr="00B40EB2">
        <w:rPr>
          <w:i w:val="0"/>
        </w:rPr>
        <w:t xml:space="preserve">d gold </w:t>
      </w:r>
      <w:r w:rsidR="00FF5E38" w:rsidRPr="00B40EB2">
        <w:rPr>
          <w:b/>
          <w:i w:val="0"/>
        </w:rPr>
        <w:t>(b)</w:t>
      </w:r>
      <w:r w:rsidR="00FF5E38" w:rsidRPr="00B40EB2">
        <w:rPr>
          <w:i w:val="0"/>
        </w:rPr>
        <w:t>, PG</w:t>
      </w:r>
      <w:r w:rsidRPr="00B40EB2">
        <w:rPr>
          <w:i w:val="0"/>
        </w:rPr>
        <w:t xml:space="preserve">/Anti-IL4-coated gold </w:t>
      </w:r>
      <w:r w:rsidRPr="00B40EB2">
        <w:rPr>
          <w:b/>
          <w:i w:val="0"/>
        </w:rPr>
        <w:t>(</w:t>
      </w:r>
      <w:r w:rsidR="00FF5E38" w:rsidRPr="00B40EB2">
        <w:rPr>
          <w:b/>
          <w:i w:val="0"/>
        </w:rPr>
        <w:t>c</w:t>
      </w:r>
      <w:r w:rsidRPr="00B40EB2">
        <w:rPr>
          <w:b/>
          <w:i w:val="0"/>
        </w:rPr>
        <w:t>)</w:t>
      </w:r>
      <w:r w:rsidR="00FF5E38" w:rsidRPr="00B40EB2">
        <w:rPr>
          <w:i w:val="0"/>
        </w:rPr>
        <w:t xml:space="preserve">. Roughness data are overlaid in air and in PBS solution </w:t>
      </w:r>
      <w:r w:rsidR="00FF5E38" w:rsidRPr="00B40EB2">
        <w:rPr>
          <w:b/>
          <w:i w:val="0"/>
        </w:rPr>
        <w:t>(d)</w:t>
      </w:r>
      <w:r w:rsidR="00FF5E38" w:rsidRPr="00B40EB2">
        <w:rPr>
          <w:i w:val="0"/>
        </w:rPr>
        <w:t>.</w:t>
      </w:r>
    </w:p>
    <w:p w:rsidR="001E6D98" w:rsidRPr="00B40EB2" w:rsidRDefault="001E6D98" w:rsidP="001E6D98">
      <w:pPr>
        <w:suppressAutoHyphens w:val="0"/>
        <w:spacing w:after="0"/>
        <w:jc w:val="left"/>
        <w:rPr>
          <w:rFonts w:cs="Lohit Hindi"/>
          <w:iCs/>
        </w:rPr>
      </w:pPr>
      <w:r w:rsidRPr="00B40EB2">
        <w:rPr>
          <w:i/>
        </w:rPr>
        <w:br w:type="page"/>
      </w:r>
    </w:p>
    <w:p w:rsidR="00745AB3" w:rsidRPr="00B40EB2" w:rsidRDefault="00B43940" w:rsidP="005F22C5">
      <w:pPr>
        <w:keepNext/>
      </w:pPr>
      <w:r w:rsidRPr="00B43940">
        <w:rPr>
          <w:noProof/>
          <w:lang w:val="it-IT" w:eastAsia="it-IT"/>
        </w:rPr>
      </w:r>
      <w:r w:rsidRPr="00B43940">
        <w:rPr>
          <w:noProof/>
          <w:lang w:val="it-IT" w:eastAsia="it-IT"/>
        </w:rPr>
        <w:pict>
          <v:rect id="Rectangle 21" o:spid="_x0000_s1026" style="width:.05pt;height:.05pt;visibility:visible;mso-wrap-style:none;mso-left-percent:-10001;mso-top-percent:-10001;mso-position-horizontal:absolute;mso-position-horizontal-relative:char;mso-position-vertical:absolute;mso-position-vertical-relative:line;mso-left-percent:-10001;mso-top-percent:-10001;v-text-anchor:middle" stroked="f" strokecolor="#3465af">
            <v:stroke joinstyle="round"/>
            <w10:wrap type="none"/>
            <w10:anchorlock/>
          </v:rect>
        </w:pict>
      </w:r>
      <w:r w:rsidR="00D630DC">
        <w:rPr>
          <w:noProof/>
          <w:lang w:val="es-ES" w:eastAsia="es-ES"/>
        </w:rPr>
        <w:drawing>
          <wp:inline distT="0" distB="0" distL="0" distR="0">
            <wp:extent cx="5943600" cy="5743575"/>
            <wp:effectExtent l="0" t="0" r="0"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_final version.jpg"/>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943600" cy="5743575"/>
                    </a:xfrm>
                    <a:prstGeom prst="rect">
                      <a:avLst/>
                    </a:prstGeom>
                  </pic:spPr>
                </pic:pic>
              </a:graphicData>
            </a:graphic>
          </wp:inline>
        </w:drawing>
      </w:r>
    </w:p>
    <w:p w:rsidR="00745AB3" w:rsidRPr="00B40EB2" w:rsidRDefault="00240112" w:rsidP="00A509BA">
      <w:pPr>
        <w:pStyle w:val="VAFigureCaption"/>
        <w:spacing w:line="240" w:lineRule="auto"/>
      </w:pPr>
      <w:r w:rsidRPr="00B40EB2">
        <w:rPr>
          <w:b/>
        </w:rPr>
        <w:t xml:space="preserve">Figure </w:t>
      </w:r>
      <w:r w:rsidR="00A509BA" w:rsidRPr="00B40EB2">
        <w:rPr>
          <w:b/>
        </w:rPr>
        <w:t>6</w:t>
      </w:r>
      <w:r w:rsidRPr="00B40EB2">
        <w:t xml:space="preserve"> 2D histograms of the unbinding distance and unbinding force for </w:t>
      </w:r>
      <w:r w:rsidRPr="00B40EB2">
        <w:rPr>
          <w:b/>
        </w:rPr>
        <w:t>(a)</w:t>
      </w:r>
      <w:r w:rsidRPr="00B40EB2">
        <w:t xml:space="preserve"> </w:t>
      </w:r>
      <w:r w:rsidR="00D630DC">
        <w:t>HSC6NH2</w:t>
      </w:r>
      <w:r w:rsidR="000B18CD" w:rsidRPr="00B40EB2">
        <w:t>-based</w:t>
      </w:r>
      <w:r w:rsidRPr="00B40EB2">
        <w:t xml:space="preserve"> </w:t>
      </w:r>
      <w:r w:rsidR="000B18CD" w:rsidRPr="00B40EB2">
        <w:t xml:space="preserve">protocol </w:t>
      </w:r>
      <w:r w:rsidRPr="00B40EB2">
        <w:t xml:space="preserve">and </w:t>
      </w:r>
      <w:r w:rsidRPr="00B40EB2">
        <w:rPr>
          <w:b/>
        </w:rPr>
        <w:t>(b)</w:t>
      </w:r>
      <w:r w:rsidRPr="00B40EB2">
        <w:t xml:space="preserve"> </w:t>
      </w:r>
      <w:r w:rsidR="000B18CD" w:rsidRPr="00B40EB2">
        <w:t>PG-based</w:t>
      </w:r>
      <w:r w:rsidRPr="00B40EB2">
        <w:t xml:space="preserve"> </w:t>
      </w:r>
      <w:r w:rsidR="000B18CD" w:rsidRPr="00B40EB2">
        <w:t>one</w:t>
      </w:r>
      <w:r w:rsidRPr="00B40EB2">
        <w:t xml:space="preserve">. </w:t>
      </w:r>
      <w:r w:rsidRPr="00B40EB2">
        <w:rPr>
          <w:b/>
        </w:rPr>
        <w:t>(c-d)</w:t>
      </w:r>
      <w:r w:rsidRPr="00B40EB2">
        <w:t xml:space="preserve"> </w:t>
      </w:r>
      <w:r w:rsidR="00966126" w:rsidRPr="00B40EB2">
        <w:t>Two representative Force vs distance curves</w:t>
      </w:r>
      <w:r w:rsidRPr="00B40EB2">
        <w:t xml:space="preserve"> corresponding to the </w:t>
      </w:r>
      <w:r w:rsidR="0055670B" w:rsidRPr="00B40EB2">
        <w:t>starred</w:t>
      </w:r>
      <w:r w:rsidRPr="00B40EB2">
        <w:t xml:space="preserve"> hexagons in </w:t>
      </w:r>
      <w:r w:rsidRPr="00B40EB2">
        <w:rPr>
          <w:b/>
        </w:rPr>
        <w:t>(a)</w:t>
      </w:r>
      <w:r w:rsidRPr="00B40EB2">
        <w:t xml:space="preserve"> and </w:t>
      </w:r>
      <w:r w:rsidRPr="00B40EB2">
        <w:rPr>
          <w:b/>
        </w:rPr>
        <w:t>(b)</w:t>
      </w:r>
      <w:r w:rsidRPr="00B40EB2">
        <w:t xml:space="preserve">. </w:t>
      </w:r>
      <w:r w:rsidRPr="00B40EB2">
        <w:rPr>
          <w:b/>
        </w:rPr>
        <w:t>(e)</w:t>
      </w:r>
      <w:r w:rsidRPr="00B40EB2">
        <w:t xml:space="preserve"> Histograms of </w:t>
      </w:r>
      <w:r w:rsidR="000B18CD" w:rsidRPr="00B40EB2">
        <w:t>SPBD as a function of F</w:t>
      </w:r>
      <w:r w:rsidRPr="00B40EB2">
        <w:t>.</w:t>
      </w:r>
      <w:r w:rsidR="000B18CD" w:rsidRPr="00B40EB2">
        <w:t xml:space="preserve"> Red, blue, empty and white-black patterned bars stand for PG, </w:t>
      </w:r>
      <w:r w:rsidR="00D630DC">
        <w:t>HSC6NH2</w:t>
      </w:r>
      <w:r w:rsidR="000B18CD" w:rsidRPr="00B40EB2">
        <w:t>, cross-check and bare Au respectively</w:t>
      </w:r>
      <w:r w:rsidR="00E67870" w:rsidRPr="00B40EB2">
        <w:t xml:space="preserve">. Solid, dashed and dotted lines are the best χ-square fits corresponding to PG, </w:t>
      </w:r>
      <w:r w:rsidR="00D630DC">
        <w:t>HSC6NH2</w:t>
      </w:r>
      <w:r w:rsidR="00E67870" w:rsidRPr="00B40EB2">
        <w:t xml:space="preserve"> and cross-check</w:t>
      </w:r>
      <w:r w:rsidR="007D54DE" w:rsidRPr="00B40EB2">
        <w:t xml:space="preserve"> </w:t>
      </w:r>
      <w:r w:rsidRPr="00B40EB2">
        <w:rPr>
          <w:b/>
        </w:rPr>
        <w:t>(f)</w:t>
      </w:r>
      <w:r w:rsidRPr="00B40EB2">
        <w:t xml:space="preserve"> </w:t>
      </w:r>
      <w:r w:rsidR="00E67870" w:rsidRPr="00B40EB2">
        <w:t>S</w:t>
      </w:r>
      <w:r w:rsidR="00E96150">
        <w:t>U</w:t>
      </w:r>
      <w:r w:rsidR="00E67870" w:rsidRPr="00B40EB2">
        <w:t>P vs. F plots are shown for each protocol</w:t>
      </w:r>
      <w:r w:rsidRPr="00B40EB2">
        <w:t>.</w:t>
      </w:r>
    </w:p>
    <w:p w:rsidR="00A509BA" w:rsidRPr="00B40EB2" w:rsidRDefault="00A509BA" w:rsidP="00A509BA">
      <w:pPr>
        <w:suppressAutoHyphens w:val="0"/>
        <w:spacing w:after="0"/>
        <w:jc w:val="left"/>
      </w:pPr>
      <w:r w:rsidRPr="00B40EB2">
        <w:br w:type="page"/>
      </w:r>
    </w:p>
    <w:p w:rsidR="005F22C5" w:rsidRPr="00B40EB2" w:rsidRDefault="009A3A4B" w:rsidP="005F22C5">
      <w:pPr>
        <w:pageBreakBefore/>
      </w:pPr>
      <w:r>
        <w:rPr>
          <w:noProof/>
          <w:lang w:val="es-ES" w:eastAsia="es-ES"/>
        </w:rPr>
        <w:lastRenderedPageBreak/>
        <w:drawing>
          <wp:inline distT="0" distB="0" distL="0" distR="0">
            <wp:extent cx="5943600" cy="4220845"/>
            <wp:effectExtent l="0" t="0" r="0" b="825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jpg"/>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943600" cy="4220845"/>
                    </a:xfrm>
                    <a:prstGeom prst="rect">
                      <a:avLst/>
                    </a:prstGeom>
                  </pic:spPr>
                </pic:pic>
              </a:graphicData>
            </a:graphic>
          </wp:inline>
        </w:drawing>
      </w:r>
    </w:p>
    <w:p w:rsidR="005F22C5" w:rsidRPr="00B40EB2" w:rsidRDefault="005F22C5" w:rsidP="002B56B5">
      <w:pPr>
        <w:pStyle w:val="VAFigureCaption"/>
        <w:spacing w:line="240" w:lineRule="auto"/>
      </w:pPr>
      <w:r w:rsidRPr="00B40EB2">
        <w:rPr>
          <w:b/>
        </w:rPr>
        <w:t xml:space="preserve">Figure </w:t>
      </w:r>
      <w:r w:rsidR="00C562D4" w:rsidRPr="00B40EB2">
        <w:rPr>
          <w:b/>
        </w:rPr>
        <w:t>7</w:t>
      </w:r>
      <w:r w:rsidRPr="00B40EB2">
        <w:t xml:space="preserve"> I-V transfer characteristics for </w:t>
      </w:r>
      <w:r w:rsidRPr="00B40EB2">
        <w:rPr>
          <w:b/>
        </w:rPr>
        <w:t>(a)</w:t>
      </w:r>
      <w:r w:rsidRPr="00B40EB2">
        <w:t xml:space="preserve"> </w:t>
      </w:r>
      <w:r w:rsidR="00116745" w:rsidRPr="00B40EB2">
        <w:t>HSC6NH2</w:t>
      </w:r>
      <w:r w:rsidR="00116745" w:rsidRPr="00B40EB2">
        <w:rPr>
          <w:i/>
        </w:rPr>
        <w:t>-</w:t>
      </w:r>
      <w:r w:rsidRPr="00B40EB2">
        <w:t xml:space="preserve"> and </w:t>
      </w:r>
      <w:r w:rsidRPr="00B40EB2">
        <w:rPr>
          <w:b/>
        </w:rPr>
        <w:t>(b)</w:t>
      </w:r>
      <w:r w:rsidRPr="00B40EB2">
        <w:t xml:space="preserve"> </w:t>
      </w:r>
      <w:r w:rsidR="00116745" w:rsidRPr="00B40EB2">
        <w:t xml:space="preserve">PG-based </w:t>
      </w:r>
      <w:r w:rsidRPr="00B40EB2">
        <w:t xml:space="preserve">protocols. </w:t>
      </w:r>
      <w:r w:rsidR="00966126" w:rsidRPr="00B40EB2">
        <w:t>Normalized m</w:t>
      </w:r>
      <w:r w:rsidRPr="00B40EB2">
        <w:t xml:space="preserve">obility ratio </w:t>
      </w:r>
      <w:r w:rsidRPr="00B40EB2">
        <w:rPr>
          <w:b/>
        </w:rPr>
        <w:t xml:space="preserve">(c) </w:t>
      </w:r>
      <w:r w:rsidRPr="00B40EB2">
        <w:t xml:space="preserve">and threshold voltage </w:t>
      </w:r>
      <w:r w:rsidRPr="00B40EB2">
        <w:rPr>
          <w:b/>
        </w:rPr>
        <w:t>(d)</w:t>
      </w:r>
      <w:r w:rsidRPr="00B40EB2">
        <w:t xml:space="preserve"> trend</w:t>
      </w:r>
      <w:r w:rsidR="00966126" w:rsidRPr="00B40EB2">
        <w:t>s</w:t>
      </w:r>
      <w:r w:rsidRPr="00B40EB2">
        <w:t xml:space="preserve"> </w:t>
      </w:r>
      <w:r w:rsidR="00966126" w:rsidRPr="00B40EB2">
        <w:t>corresponding to the stepwise functionalization</w:t>
      </w:r>
      <w:r w:rsidRPr="00B40EB2">
        <w:t>.</w:t>
      </w:r>
    </w:p>
    <w:p w:rsidR="005F22C5" w:rsidRPr="00B40EB2" w:rsidRDefault="005F22C5" w:rsidP="005F22C5">
      <w:pPr>
        <w:pStyle w:val="VAFigureCaption"/>
        <w:pageBreakBefore/>
      </w:pPr>
    </w:p>
    <w:p w:rsidR="005F22C5" w:rsidRPr="00B40EB2" w:rsidRDefault="005F22C5" w:rsidP="008F5D4F">
      <w:pPr>
        <w:pStyle w:val="VDTableTitle"/>
        <w:outlineLvl w:val="0"/>
      </w:pPr>
      <w:r w:rsidRPr="00B40EB2">
        <w:rPr>
          <w:b/>
        </w:rPr>
        <w:t xml:space="preserve">Table </w:t>
      </w:r>
      <w:r w:rsidR="00B43940" w:rsidRPr="00B40EB2">
        <w:rPr>
          <w:b/>
        </w:rPr>
        <w:fldChar w:fldCharType="begin"/>
      </w:r>
      <w:r w:rsidRPr="00B40EB2">
        <w:rPr>
          <w:b/>
        </w:rPr>
        <w:instrText xml:space="preserve"> SEQ "Tabella" \*Arabic </w:instrText>
      </w:r>
      <w:r w:rsidR="00B43940" w:rsidRPr="00B40EB2">
        <w:rPr>
          <w:b/>
        </w:rPr>
        <w:fldChar w:fldCharType="separate"/>
      </w:r>
      <w:r w:rsidRPr="00B40EB2">
        <w:rPr>
          <w:b/>
          <w:noProof/>
        </w:rPr>
        <w:t>1</w:t>
      </w:r>
      <w:r w:rsidR="00B43940" w:rsidRPr="00B40EB2">
        <w:rPr>
          <w:b/>
        </w:rPr>
        <w:fldChar w:fldCharType="end"/>
      </w:r>
      <w:r w:rsidRPr="00B40EB2">
        <w:rPr>
          <w:b/>
        </w:rPr>
        <w:t xml:space="preserve"> </w:t>
      </w:r>
    </w:p>
    <w:tbl>
      <w:tblPr>
        <w:tblW w:w="8900" w:type="dxa"/>
        <w:jc w:val="center"/>
        <w:tblCellMar>
          <w:left w:w="0" w:type="dxa"/>
          <w:right w:w="0" w:type="dxa"/>
        </w:tblCellMar>
        <w:tblLook w:val="04A0"/>
      </w:tblPr>
      <w:tblGrid>
        <w:gridCol w:w="1686"/>
        <w:gridCol w:w="1170"/>
        <w:gridCol w:w="1634"/>
        <w:gridCol w:w="1274"/>
        <w:gridCol w:w="1218"/>
        <w:gridCol w:w="937"/>
        <w:gridCol w:w="981"/>
      </w:tblGrid>
      <w:tr w:rsidR="00401264" w:rsidRPr="00B40EB2" w:rsidTr="007A4950">
        <w:trPr>
          <w:trHeight w:val="500"/>
          <w:jc w:val="center"/>
        </w:trPr>
        <w:tc>
          <w:tcPr>
            <w:tcW w:w="1869"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rPr>
                <w:b/>
                <w:bCs/>
              </w:rPr>
              <w:t>Experiment</w:t>
            </w:r>
          </w:p>
        </w:tc>
        <w:tc>
          <w:tcPr>
            <w:tcW w:w="1184"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rPr>
                <w:b/>
                <w:bCs/>
              </w:rPr>
              <w:t>x</w:t>
            </w:r>
            <w:r w:rsidRPr="00B40EB2">
              <w:rPr>
                <w:b/>
                <w:bCs/>
                <w:vertAlign w:val="subscript"/>
              </w:rPr>
              <w:t>β</w:t>
            </w:r>
            <w:r w:rsidRPr="00B40EB2">
              <w:rPr>
                <w:b/>
                <w:bCs/>
              </w:rPr>
              <w:t xml:space="preserve"> (Å)</w:t>
            </w:r>
          </w:p>
        </w:tc>
        <w:tc>
          <w:tcPr>
            <w:tcW w:w="1146"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rPr>
                <w:b/>
                <w:bCs/>
              </w:rPr>
              <w:t>k</w:t>
            </w:r>
            <w:r w:rsidRPr="00B40EB2">
              <w:rPr>
                <w:b/>
                <w:bCs/>
                <w:vertAlign w:val="subscript"/>
              </w:rPr>
              <w:t xml:space="preserve">off   </w:t>
            </w:r>
            <w:r w:rsidRPr="00B40EB2">
              <w:rPr>
                <w:b/>
                <w:bCs/>
              </w:rPr>
              <w:t>(s</w:t>
            </w:r>
            <w:r w:rsidRPr="00B40EB2">
              <w:rPr>
                <w:b/>
                <w:bCs/>
                <w:vertAlign w:val="superscript"/>
              </w:rPr>
              <w:t>-1</w:t>
            </w:r>
            <w:r w:rsidRPr="00B40EB2">
              <w:rPr>
                <w:b/>
                <w:bCs/>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rPr>
                <w:b/>
                <w:bCs/>
              </w:rPr>
              <w:t>τ  (s)</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rPr>
                <w:b/>
                <w:bCs/>
              </w:rPr>
              <w:t>ΔG</w:t>
            </w:r>
            <w:r w:rsidRPr="00B40EB2">
              <w:rPr>
                <w:b/>
                <w:bCs/>
                <w:vertAlign w:val="subscript"/>
              </w:rPr>
              <w:t>binding</w:t>
            </w:r>
            <w:r w:rsidR="002A62C4" w:rsidRPr="00B40EB2">
              <w:rPr>
                <w:b/>
                <w:bCs/>
              </w:rPr>
              <w:t xml:space="preserve"> (kJ</w:t>
            </w:r>
            <w:r w:rsidRPr="00B40EB2">
              <w:rPr>
                <w:b/>
                <w:bCs/>
              </w:rPr>
              <w:t>/mol)</w:t>
            </w:r>
          </w:p>
        </w:tc>
        <w:tc>
          <w:tcPr>
            <w:tcW w:w="1132"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rPr>
                <w:b/>
                <w:bCs/>
              </w:rPr>
              <w:t>µ (% loss)</w:t>
            </w:r>
          </w:p>
        </w:tc>
        <w:tc>
          <w:tcPr>
            <w:tcW w:w="1144"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rPr>
                <w:b/>
                <w:bCs/>
              </w:rPr>
              <w:t>ΔV</w:t>
            </w:r>
            <w:r w:rsidRPr="00B40EB2">
              <w:rPr>
                <w:b/>
                <w:bCs/>
                <w:vertAlign w:val="subscript"/>
              </w:rPr>
              <w:t>th</w:t>
            </w:r>
            <w:r w:rsidRPr="00B40EB2">
              <w:rPr>
                <w:b/>
                <w:bCs/>
              </w:rPr>
              <w:t xml:space="preserve"> (mV)</w:t>
            </w:r>
          </w:p>
        </w:tc>
      </w:tr>
      <w:tr w:rsidR="00401264" w:rsidRPr="00B40EB2" w:rsidTr="007A4950">
        <w:trPr>
          <w:trHeight w:val="503"/>
          <w:jc w:val="center"/>
        </w:trPr>
        <w:tc>
          <w:tcPr>
            <w:tcW w:w="1869"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rPr>
                <w:b/>
                <w:bCs/>
              </w:rPr>
              <w:t>IL4 on Protein G</w:t>
            </w:r>
          </w:p>
        </w:tc>
        <w:tc>
          <w:tcPr>
            <w:tcW w:w="1184"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3.2</w:t>
            </w:r>
            <w:r w:rsidR="002E64E1">
              <w:t>(±0.2</w:t>
            </w:r>
            <w:r w:rsidR="007A4950">
              <w:t>)</w:t>
            </w:r>
          </w:p>
        </w:tc>
        <w:tc>
          <w:tcPr>
            <w:tcW w:w="1146"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0.004</w:t>
            </w:r>
            <w:r w:rsidR="007A4950">
              <w:t>(±0.002)</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206</w:t>
            </w:r>
            <w:r w:rsidR="007A4950">
              <w:t>(±103)</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7A4950" w:rsidP="007A4950">
            <w:pPr>
              <w:jc w:val="center"/>
            </w:pPr>
            <w:r>
              <w:t>84(±42)</w:t>
            </w:r>
          </w:p>
        </w:tc>
        <w:tc>
          <w:tcPr>
            <w:tcW w:w="1132"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16</w:t>
            </w:r>
          </w:p>
        </w:tc>
        <w:tc>
          <w:tcPr>
            <w:tcW w:w="1144"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≈10</w:t>
            </w:r>
          </w:p>
        </w:tc>
      </w:tr>
      <w:tr w:rsidR="00401264" w:rsidRPr="00B40EB2" w:rsidTr="007A4950">
        <w:trPr>
          <w:trHeight w:val="544"/>
          <w:jc w:val="center"/>
        </w:trPr>
        <w:tc>
          <w:tcPr>
            <w:tcW w:w="1869"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D630DC">
            <w:pPr>
              <w:jc w:val="center"/>
            </w:pPr>
            <w:r w:rsidRPr="00B40EB2">
              <w:rPr>
                <w:b/>
                <w:bCs/>
              </w:rPr>
              <w:t xml:space="preserve">IL4 on </w:t>
            </w:r>
            <w:r w:rsidR="00D630DC">
              <w:rPr>
                <w:b/>
                <w:bCs/>
              </w:rPr>
              <w:t>HSC6NH2</w:t>
            </w:r>
          </w:p>
        </w:tc>
        <w:tc>
          <w:tcPr>
            <w:tcW w:w="1184"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2.4</w:t>
            </w:r>
            <w:r w:rsidR="002E64E1">
              <w:t>(±0.1</w:t>
            </w:r>
            <w:r w:rsidR="007A4950">
              <w:t>)</w:t>
            </w:r>
          </w:p>
        </w:tc>
        <w:tc>
          <w:tcPr>
            <w:tcW w:w="1146"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0.209</w:t>
            </w:r>
            <w:r w:rsidR="007A4950">
              <w:t>(±0.073)</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7A4950" w:rsidP="007A4950">
            <w:pPr>
              <w:jc w:val="center"/>
            </w:pPr>
            <w:r>
              <w:t>5(±2)</w:t>
            </w:r>
          </w:p>
        </w:tc>
        <w:tc>
          <w:tcPr>
            <w:tcW w:w="1297"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7A4950" w:rsidP="007A4950">
            <w:pPr>
              <w:jc w:val="center"/>
            </w:pPr>
            <w:r>
              <w:t>75(±26)</w:t>
            </w:r>
          </w:p>
        </w:tc>
        <w:tc>
          <w:tcPr>
            <w:tcW w:w="1132"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w:t>
            </w:r>
          </w:p>
        </w:tc>
        <w:tc>
          <w:tcPr>
            <w:tcW w:w="1144" w:type="dxa"/>
            <w:tcBorders>
              <w:top w:val="single" w:sz="8" w:space="0" w:color="000000"/>
              <w:left w:val="single" w:sz="8" w:space="0" w:color="000000"/>
              <w:bottom w:val="single" w:sz="8" w:space="0" w:color="000000"/>
              <w:right w:val="single" w:sz="8" w:space="0" w:color="000000"/>
            </w:tcBorders>
            <w:shd w:val="clear" w:color="auto" w:fill="auto"/>
            <w:tcMar>
              <w:top w:w="65" w:type="dxa"/>
              <w:left w:w="131" w:type="dxa"/>
              <w:bottom w:w="65" w:type="dxa"/>
              <w:right w:w="131" w:type="dxa"/>
            </w:tcMar>
            <w:vAlign w:val="center"/>
          </w:tcPr>
          <w:p w:rsidR="00401264" w:rsidRPr="00B40EB2" w:rsidRDefault="00401264" w:rsidP="007A4950">
            <w:pPr>
              <w:jc w:val="center"/>
            </w:pPr>
            <w:r w:rsidRPr="00B40EB2">
              <w:t>-</w:t>
            </w:r>
          </w:p>
        </w:tc>
      </w:tr>
    </w:tbl>
    <w:p w:rsidR="005F22C5" w:rsidRPr="00B40EB2" w:rsidRDefault="005F22C5" w:rsidP="005F22C5"/>
    <w:p w:rsidR="005F22C5" w:rsidRPr="00B40EB2" w:rsidRDefault="005F22C5" w:rsidP="005F22C5"/>
    <w:p w:rsidR="005F22C5" w:rsidRPr="00C72421" w:rsidRDefault="005F22C5" w:rsidP="008F5D4F">
      <w:pPr>
        <w:pStyle w:val="FACorrespondingAuthorFootnote"/>
        <w:spacing w:after="0"/>
        <w:jc w:val="left"/>
        <w:outlineLvl w:val="0"/>
        <w:rPr>
          <w:b/>
        </w:rPr>
      </w:pPr>
      <w:r w:rsidRPr="00C72421">
        <w:rPr>
          <w:b/>
        </w:rPr>
        <w:t>AUTHOR INFORMATION</w:t>
      </w:r>
    </w:p>
    <w:p w:rsidR="005F22C5" w:rsidRPr="00B40EB2" w:rsidRDefault="005F22C5" w:rsidP="008F5D4F">
      <w:pPr>
        <w:pStyle w:val="FACorrespondingAuthorFootnote"/>
        <w:spacing w:after="0"/>
        <w:jc w:val="left"/>
        <w:outlineLvl w:val="0"/>
      </w:pPr>
      <w:r w:rsidRPr="00B40EB2">
        <w:rPr>
          <w:b/>
        </w:rPr>
        <w:t>Corresponding Author</w:t>
      </w:r>
      <w:r w:rsidR="009D4130" w:rsidRPr="00B40EB2">
        <w:rPr>
          <w:b/>
        </w:rPr>
        <w:t>s</w:t>
      </w:r>
    </w:p>
    <w:p w:rsidR="005F22C5" w:rsidRPr="00056ECF" w:rsidRDefault="005F22C5" w:rsidP="005F22C5">
      <w:pPr>
        <w:pStyle w:val="FACorrespondingAuthorFootnote"/>
        <w:spacing w:after="240"/>
        <w:jc w:val="left"/>
        <w:rPr>
          <w:lang w:val="it-IT"/>
        </w:rPr>
      </w:pPr>
      <w:r w:rsidRPr="00D665B2">
        <w:rPr>
          <w:lang w:val="it-IT"/>
        </w:rPr>
        <w:t xml:space="preserve">*Dr. Stefano Casalini, </w:t>
      </w:r>
      <w:hyperlink r:id="rId33" w:history="1">
        <w:r w:rsidR="00051413" w:rsidRPr="00D665B2">
          <w:rPr>
            <w:rStyle w:val="Hipervnculo"/>
            <w:lang w:val="it-IT"/>
          </w:rPr>
          <w:t>stefa</w:t>
        </w:r>
        <w:r w:rsidR="00051413" w:rsidRPr="00056ECF">
          <w:rPr>
            <w:rStyle w:val="Hipervnculo"/>
            <w:lang w:val="it-IT"/>
          </w:rPr>
          <w:t>no.casalini@unimore.it</w:t>
        </w:r>
      </w:hyperlink>
    </w:p>
    <w:p w:rsidR="00051413" w:rsidRPr="00056ECF" w:rsidRDefault="009D4130" w:rsidP="005F22C5">
      <w:pPr>
        <w:pStyle w:val="FACorrespondingAuthorFootnote"/>
        <w:spacing w:after="240"/>
        <w:jc w:val="left"/>
        <w:rPr>
          <w:lang w:val="it-IT"/>
        </w:rPr>
      </w:pPr>
      <w:r w:rsidRPr="00056ECF">
        <w:rPr>
          <w:lang w:val="it-IT"/>
        </w:rPr>
        <w:t>*</w:t>
      </w:r>
      <w:r w:rsidR="00311599" w:rsidRPr="00056ECF">
        <w:rPr>
          <w:lang w:val="it-IT"/>
        </w:rPr>
        <w:t>Prof</w:t>
      </w:r>
      <w:r w:rsidR="00051413" w:rsidRPr="00056ECF">
        <w:rPr>
          <w:lang w:val="it-IT"/>
        </w:rPr>
        <w:t xml:space="preserve">. Ricardo Garcia, </w:t>
      </w:r>
      <w:r w:rsidR="00E96150" w:rsidRPr="00056ECF">
        <w:rPr>
          <w:lang w:val="it-IT"/>
        </w:rPr>
        <w:t>r.</w:t>
      </w:r>
      <w:r w:rsidRPr="00056ECF">
        <w:rPr>
          <w:lang w:val="it-IT"/>
        </w:rPr>
        <w:t>garcia@csic.es</w:t>
      </w:r>
    </w:p>
    <w:p w:rsidR="005F22C5" w:rsidRPr="00B40EB2" w:rsidRDefault="005F22C5" w:rsidP="008F5D4F">
      <w:pPr>
        <w:pStyle w:val="FAAuthorInfoSubtitle"/>
        <w:outlineLvl w:val="0"/>
      </w:pPr>
      <w:r w:rsidRPr="00B40EB2">
        <w:t>Funding Sources</w:t>
      </w:r>
    </w:p>
    <w:p w:rsidR="005F22C5" w:rsidRPr="00B40EB2" w:rsidRDefault="005F22C5" w:rsidP="005F22C5">
      <w:pPr>
        <w:pStyle w:val="TDAcknowledgments"/>
        <w:spacing w:after="0"/>
        <w:ind w:firstLine="0"/>
        <w:jc w:val="left"/>
      </w:pPr>
      <w:r w:rsidRPr="00B40EB2">
        <w:t>This work was supported by the EU-project I-ONE</w:t>
      </w:r>
      <w:r w:rsidR="00027DA6" w:rsidRPr="00B40EB2">
        <w:t>-FP7</w:t>
      </w:r>
      <w:r w:rsidR="00B50186" w:rsidRPr="00B40EB2">
        <w:t xml:space="preserve"> “Implantable Organic Nano-Materials”</w:t>
      </w:r>
      <w:r w:rsidRPr="00B40EB2">
        <w:t xml:space="preserve"> NMP4-SL-2012</w:t>
      </w:r>
      <w:r w:rsidR="00B50186" w:rsidRPr="00B40EB2">
        <w:t>,</w:t>
      </w:r>
      <w:r w:rsidRPr="00B40EB2">
        <w:t xml:space="preserve"> </w:t>
      </w:r>
      <w:r w:rsidR="00B50186" w:rsidRPr="00B40EB2">
        <w:t>grant agreement n.</w:t>
      </w:r>
      <w:r w:rsidRPr="00B40EB2">
        <w:t>280772.</w:t>
      </w:r>
      <w:r w:rsidR="008F61E2">
        <w:t xml:space="preserve"> </w:t>
      </w:r>
      <w:r w:rsidR="008F61E2" w:rsidRPr="00E51451">
        <w:t>R</w:t>
      </w:r>
      <w:r w:rsidR="008F14D4" w:rsidRPr="00E51451">
        <w:t>.</w:t>
      </w:r>
      <w:r w:rsidR="008F61E2" w:rsidRPr="00E51451">
        <w:t xml:space="preserve"> F</w:t>
      </w:r>
      <w:r w:rsidR="008F14D4" w:rsidRPr="00E51451">
        <w:t>.</w:t>
      </w:r>
      <w:r w:rsidR="008F61E2" w:rsidRPr="00E51451">
        <w:t xml:space="preserve"> de Oliveira </w:t>
      </w:r>
      <w:r w:rsidR="007B2C51" w:rsidRPr="00E51451">
        <w:t>acknowledges financial support from FAPES</w:t>
      </w:r>
      <w:r w:rsidR="006B24AD">
        <w:t>P</w:t>
      </w:r>
      <w:r w:rsidR="007B2C51" w:rsidRPr="00E51451">
        <w:t xml:space="preserve"> (Brazil) through project Proc. 2013/03857-0. </w:t>
      </w:r>
      <w:r w:rsidR="008F14D4" w:rsidRPr="00E51451">
        <w:t>A.C. Dumitru acknowledges financial support from MINECO (Spain) through project CSD2010-00024.</w:t>
      </w:r>
    </w:p>
    <w:p w:rsidR="005F22C5" w:rsidRPr="00F82CF4" w:rsidRDefault="005F22C5" w:rsidP="008F5D4F">
      <w:pPr>
        <w:pStyle w:val="TDAcknowledgments"/>
        <w:spacing w:after="0"/>
        <w:ind w:firstLine="0"/>
        <w:jc w:val="left"/>
        <w:outlineLvl w:val="0"/>
        <w:rPr>
          <w:b/>
        </w:rPr>
      </w:pPr>
      <w:r w:rsidRPr="00F82CF4">
        <w:rPr>
          <w:b/>
        </w:rPr>
        <w:t>ACKNOWLEDGMENT</w:t>
      </w:r>
    </w:p>
    <w:p w:rsidR="004C1C60" w:rsidRPr="00B40EB2" w:rsidRDefault="004C1C60" w:rsidP="004C1C60">
      <w:pPr>
        <w:pStyle w:val="TDAcknowledgments"/>
        <w:spacing w:after="0"/>
        <w:ind w:firstLine="0"/>
        <w:jc w:val="left"/>
      </w:pPr>
      <w:r w:rsidRPr="00B40EB2">
        <w:t>We thank Prof.</w:t>
      </w:r>
      <w:r w:rsidR="00311599" w:rsidRPr="00B40EB2">
        <w:t xml:space="preserve"> Francesco Zerbetto, Alma Mater-Università di </w:t>
      </w:r>
      <w:r w:rsidRPr="00B40EB2">
        <w:t>B</w:t>
      </w:r>
      <w:r w:rsidR="00710816" w:rsidRPr="00B40EB2">
        <w:t>ologna, for useful discussions.</w:t>
      </w:r>
    </w:p>
    <w:p w:rsidR="004C1C60" w:rsidRDefault="007315D1" w:rsidP="008F5D4F">
      <w:pPr>
        <w:pStyle w:val="TDAcknowledgments"/>
        <w:spacing w:after="0"/>
        <w:ind w:firstLine="0"/>
        <w:jc w:val="left"/>
        <w:outlineLvl w:val="0"/>
      </w:pPr>
      <w:r w:rsidRPr="00E51451">
        <w:t>SUPPORTING INFORMATION AVAILABLE ONLINE</w:t>
      </w:r>
    </w:p>
    <w:p w:rsidR="007315D1" w:rsidRPr="00B40EB2" w:rsidRDefault="003A11A4" w:rsidP="008F5D4F">
      <w:pPr>
        <w:pStyle w:val="TDAcknowledgments"/>
        <w:spacing w:after="0"/>
        <w:ind w:firstLine="0"/>
        <w:jc w:val="left"/>
        <w:outlineLvl w:val="0"/>
      </w:pPr>
      <w:r w:rsidRPr="00E51451">
        <w:lastRenderedPageBreak/>
        <w:t>Additional content includes: i) Overlay of double-layer capacitance</w:t>
      </w:r>
      <w:r w:rsidR="008F61E2" w:rsidRPr="00E51451">
        <w:t xml:space="preserve"> (C</w:t>
      </w:r>
      <w:r w:rsidR="008F61E2" w:rsidRPr="00E51451">
        <w:rPr>
          <w:vertAlign w:val="subscript"/>
        </w:rPr>
        <w:t>dl</w:t>
      </w:r>
      <w:r w:rsidR="008F61E2" w:rsidRPr="00E51451">
        <w:t>)</w:t>
      </w:r>
      <w:r w:rsidRPr="00E51451">
        <w:t xml:space="preserve"> and charge transfer resistance</w:t>
      </w:r>
      <w:r w:rsidR="008F61E2" w:rsidRPr="00E51451">
        <w:t xml:space="preserve"> (R</w:t>
      </w:r>
      <w:r w:rsidR="008F61E2" w:rsidRPr="00E51451">
        <w:rPr>
          <w:vertAlign w:val="subscript"/>
        </w:rPr>
        <w:t>CT</w:t>
      </w:r>
      <w:r w:rsidR="008F61E2" w:rsidRPr="00E51451">
        <w:t>)</w:t>
      </w:r>
      <w:r w:rsidRPr="00E51451">
        <w:t xml:space="preserve"> corresponding to PG adsorption/desorption</w:t>
      </w:r>
      <w:r w:rsidR="008F61E2" w:rsidRPr="00E51451">
        <w:t>; ii) table of C</w:t>
      </w:r>
      <w:r w:rsidR="008F61E2" w:rsidRPr="00E51451">
        <w:rPr>
          <w:vertAlign w:val="subscript"/>
        </w:rPr>
        <w:t xml:space="preserve">dl </w:t>
      </w:r>
      <w:r w:rsidR="008F61E2" w:rsidRPr="00E51451">
        <w:t>and R</w:t>
      </w:r>
      <w:r w:rsidR="008F61E2" w:rsidRPr="00E51451">
        <w:rPr>
          <w:vertAlign w:val="subscript"/>
        </w:rPr>
        <w:t xml:space="preserve">CT </w:t>
      </w:r>
      <w:r w:rsidR="008F61E2" w:rsidRPr="00E51451">
        <w:t xml:space="preserve">values for the two functionalization protocol; iii) </w:t>
      </w:r>
      <w:r w:rsidR="00AC4EB1" w:rsidRPr="00E51451">
        <w:t>Histograms and bar-plot of the probability corresponding to IL-6 immuno-recognition</w:t>
      </w:r>
      <w:r w:rsidR="008F61E2" w:rsidRPr="00E51451">
        <w:t xml:space="preserve">; iv) </w:t>
      </w:r>
      <w:r w:rsidR="00AC4EB1" w:rsidRPr="00E51451">
        <w:t>Cyclic voltammogram of reductive electrodesorption</w:t>
      </w:r>
      <w:r w:rsidR="008F61E2" w:rsidRPr="00E51451">
        <w:t>; v)</w:t>
      </w:r>
      <w:r w:rsidR="00AC4EB1" w:rsidRPr="00AC4EB1">
        <w:t xml:space="preserve"> </w:t>
      </w:r>
      <w:r w:rsidR="00AC4EB1" w:rsidRPr="00E51451">
        <w:t>Scheme of algorithm mechanism</w:t>
      </w:r>
      <w:r w:rsidR="008F61E2" w:rsidRPr="00E51451">
        <w:t xml:space="preserve">; vi) Unbinding force </w:t>
      </w:r>
      <w:r w:rsidR="008F61E2" w:rsidRPr="00E51451">
        <w:rPr>
          <w:i/>
        </w:rPr>
        <w:t>vs.</w:t>
      </w:r>
      <w:r w:rsidR="008F61E2" w:rsidRPr="00E51451">
        <w:t xml:space="preserve"> loading rate plot. </w:t>
      </w:r>
      <w:r w:rsidR="00CD7FF5" w:rsidRPr="00E51451">
        <w:t>This material is available free of charge via the Internet at http://pubs.acs.org.</w:t>
      </w:r>
    </w:p>
    <w:p w:rsidR="002B56B5" w:rsidRPr="00B40EB2" w:rsidRDefault="002B56B5" w:rsidP="002B56B5">
      <w:pPr>
        <w:suppressAutoHyphens w:val="0"/>
        <w:spacing w:after="0"/>
        <w:jc w:val="left"/>
      </w:pPr>
      <w:r w:rsidRPr="00B40EB2">
        <w:br w:type="page"/>
      </w:r>
    </w:p>
    <w:p w:rsidR="005F22C5" w:rsidRPr="00F82CF4" w:rsidRDefault="005F22C5" w:rsidP="008F5D4F">
      <w:pPr>
        <w:pStyle w:val="TFReferencesSection"/>
        <w:spacing w:after="0"/>
        <w:ind w:firstLine="0"/>
        <w:outlineLvl w:val="0"/>
        <w:rPr>
          <w:b/>
        </w:rPr>
      </w:pPr>
      <w:r w:rsidRPr="00F82CF4">
        <w:rPr>
          <w:b/>
        </w:rPr>
        <w:lastRenderedPageBreak/>
        <w:t>REFERENCES</w:t>
      </w:r>
    </w:p>
    <w:p w:rsidR="00227A92" w:rsidRPr="008F61E2" w:rsidRDefault="00B43940">
      <w:pPr>
        <w:pStyle w:val="NormalWeb"/>
        <w:ind w:left="640" w:hanging="640"/>
        <w:divId w:val="2086679128"/>
        <w:rPr>
          <w:rFonts w:eastAsiaTheme="minorEastAsia"/>
          <w:noProof/>
          <w:lang w:val="en-US"/>
        </w:rPr>
      </w:pPr>
      <w:r w:rsidRPr="00B40EB2">
        <w:rPr>
          <w:lang w:val="en-US"/>
        </w:rPr>
        <w:fldChar w:fldCharType="begin" w:fldLock="1"/>
      </w:r>
      <w:r w:rsidR="005F22C5" w:rsidRPr="00B40EB2">
        <w:rPr>
          <w:lang w:val="en-US"/>
        </w:rPr>
        <w:instrText xml:space="preserve">ADDIN Mendeley Bibliography CSL_BIBLIOGRAPHY </w:instrText>
      </w:r>
      <w:r w:rsidRPr="00B40EB2">
        <w:rPr>
          <w:lang w:val="en-US"/>
        </w:rPr>
        <w:fldChar w:fldCharType="separate"/>
      </w:r>
      <w:r w:rsidR="00227A92" w:rsidRPr="008F61E2">
        <w:rPr>
          <w:noProof/>
          <w:lang w:val="en-US"/>
        </w:rPr>
        <w:t xml:space="preserve">(1) </w:t>
      </w:r>
      <w:r w:rsidR="00227A92" w:rsidRPr="008F61E2">
        <w:rPr>
          <w:noProof/>
          <w:lang w:val="en-US"/>
        </w:rPr>
        <w:tab/>
        <w:t>Mariuzza, R. A.; Immunologie, D.; Pasteur, I.; Cedex, P. T</w:t>
      </w:r>
      <w:r w:rsidR="004C4B4B">
        <w:rPr>
          <w:noProof/>
          <w:lang w:val="en-US"/>
        </w:rPr>
        <w:t>he</w:t>
      </w:r>
      <w:r w:rsidR="00227A92" w:rsidRPr="008F61E2">
        <w:rPr>
          <w:noProof/>
          <w:lang w:val="en-US"/>
        </w:rPr>
        <w:t xml:space="preserve"> S</w:t>
      </w:r>
      <w:r w:rsidR="004C4B4B">
        <w:rPr>
          <w:noProof/>
          <w:lang w:val="en-US"/>
        </w:rPr>
        <w:t>tructural</w:t>
      </w:r>
      <w:r w:rsidR="00227A92" w:rsidRPr="008F61E2">
        <w:rPr>
          <w:noProof/>
          <w:lang w:val="en-US"/>
        </w:rPr>
        <w:t xml:space="preserve"> B</w:t>
      </w:r>
      <w:r w:rsidR="004C4B4B">
        <w:rPr>
          <w:noProof/>
          <w:lang w:val="en-US"/>
        </w:rPr>
        <w:t>asis</w:t>
      </w:r>
      <w:r w:rsidR="00227A92" w:rsidRPr="008F61E2">
        <w:rPr>
          <w:noProof/>
          <w:lang w:val="en-US"/>
        </w:rPr>
        <w:t xml:space="preserve"> </w:t>
      </w:r>
      <w:r w:rsidR="004C4B4B">
        <w:rPr>
          <w:noProof/>
          <w:lang w:val="en-US"/>
        </w:rPr>
        <w:t>of</w:t>
      </w:r>
      <w:r w:rsidR="00227A92" w:rsidRPr="008F61E2">
        <w:rPr>
          <w:noProof/>
          <w:lang w:val="en-US"/>
        </w:rPr>
        <w:t xml:space="preserve"> A</w:t>
      </w:r>
      <w:r w:rsidR="004C4B4B">
        <w:rPr>
          <w:noProof/>
          <w:lang w:val="en-US"/>
        </w:rPr>
        <w:t>ntigen</w:t>
      </w:r>
      <w:r w:rsidR="00227A92" w:rsidRPr="008F61E2">
        <w:rPr>
          <w:noProof/>
          <w:lang w:val="en-US"/>
        </w:rPr>
        <w:t>-A</w:t>
      </w:r>
      <w:r w:rsidR="004C4B4B">
        <w:rPr>
          <w:noProof/>
          <w:lang w:val="en-US"/>
        </w:rPr>
        <w:t>ntibody</w:t>
      </w:r>
      <w:r w:rsidR="00227A92" w:rsidRPr="008F61E2">
        <w:rPr>
          <w:noProof/>
          <w:lang w:val="en-US"/>
        </w:rPr>
        <w:t xml:space="preserve"> R</w:t>
      </w:r>
      <w:r w:rsidR="004C4B4B">
        <w:rPr>
          <w:noProof/>
          <w:lang w:val="en-US"/>
        </w:rPr>
        <w:t>ecognition</w:t>
      </w:r>
      <w:r w:rsidR="00227A92" w:rsidRPr="008F61E2">
        <w:rPr>
          <w:noProof/>
          <w:lang w:val="en-US"/>
        </w:rPr>
        <w:t xml:space="preserve">. </w:t>
      </w:r>
      <w:r w:rsidR="00227A92" w:rsidRPr="008F61E2">
        <w:rPr>
          <w:i/>
          <w:iCs/>
          <w:noProof/>
          <w:lang w:val="en-US"/>
        </w:rPr>
        <w:t>Annu. Rev. Biophys. Biophys. Chem.</w:t>
      </w:r>
      <w:r w:rsidR="00227A92" w:rsidRPr="008F61E2">
        <w:rPr>
          <w:noProof/>
          <w:lang w:val="en-US"/>
        </w:rPr>
        <w:t xml:space="preserve"> </w:t>
      </w:r>
      <w:r w:rsidR="00227A92" w:rsidRPr="008F61E2">
        <w:rPr>
          <w:b/>
          <w:bCs/>
          <w:noProof/>
          <w:lang w:val="en-US"/>
        </w:rPr>
        <w:t>1987</w:t>
      </w:r>
      <w:r w:rsidR="00227A92" w:rsidRPr="008F61E2">
        <w:rPr>
          <w:noProof/>
          <w:lang w:val="en-US"/>
        </w:rPr>
        <w:t xml:space="preserve">, </w:t>
      </w:r>
      <w:r w:rsidR="00227A92" w:rsidRPr="008F61E2">
        <w:rPr>
          <w:i/>
          <w:iCs/>
          <w:noProof/>
          <w:lang w:val="en-US"/>
        </w:rPr>
        <w:t>16</w:t>
      </w:r>
      <w:r w:rsidR="00227A92" w:rsidRPr="008F61E2">
        <w:rPr>
          <w:noProof/>
          <w:lang w:val="en-US"/>
        </w:rPr>
        <w:t>, 139–159.</w:t>
      </w:r>
    </w:p>
    <w:p w:rsidR="00227A92" w:rsidRPr="008F61E2" w:rsidRDefault="00227A92">
      <w:pPr>
        <w:pStyle w:val="NormalWeb"/>
        <w:ind w:left="640" w:hanging="640"/>
        <w:divId w:val="2086679128"/>
        <w:rPr>
          <w:noProof/>
          <w:lang w:val="en-US"/>
        </w:rPr>
      </w:pPr>
      <w:r w:rsidRPr="008F61E2">
        <w:rPr>
          <w:noProof/>
          <w:lang w:val="en-US"/>
        </w:rPr>
        <w:t xml:space="preserve">(2) </w:t>
      </w:r>
      <w:r w:rsidRPr="008F61E2">
        <w:rPr>
          <w:noProof/>
          <w:lang w:val="en-US"/>
        </w:rPr>
        <w:tab/>
        <w:t xml:space="preserve">BK, V. W.; A.H.W.N., S. Immunoassay Using Antigen-Enzyme Conjugates. </w:t>
      </w:r>
      <w:r w:rsidRPr="008F61E2">
        <w:rPr>
          <w:i/>
          <w:iCs/>
          <w:noProof/>
          <w:lang w:val="en-US"/>
        </w:rPr>
        <w:t>FEBS Lett.</w:t>
      </w:r>
      <w:r w:rsidRPr="008F61E2">
        <w:rPr>
          <w:noProof/>
          <w:lang w:val="en-US"/>
        </w:rPr>
        <w:t xml:space="preserve"> </w:t>
      </w:r>
      <w:r w:rsidRPr="008F61E2">
        <w:rPr>
          <w:b/>
          <w:bCs/>
          <w:noProof/>
          <w:lang w:val="en-US"/>
        </w:rPr>
        <w:t>1971</w:t>
      </w:r>
      <w:r w:rsidRPr="008F61E2">
        <w:rPr>
          <w:noProof/>
          <w:lang w:val="en-US"/>
        </w:rPr>
        <w:t xml:space="preserve">, </w:t>
      </w:r>
      <w:r w:rsidRPr="008F61E2">
        <w:rPr>
          <w:i/>
          <w:iCs/>
          <w:noProof/>
          <w:lang w:val="en-US"/>
        </w:rPr>
        <w:t>15</w:t>
      </w:r>
      <w:r w:rsidRPr="008F61E2">
        <w:rPr>
          <w:noProof/>
          <w:lang w:val="en-US"/>
        </w:rPr>
        <w:t>, 232–236.</w:t>
      </w:r>
    </w:p>
    <w:p w:rsidR="00227A92" w:rsidRPr="008F61E2" w:rsidRDefault="00227A92">
      <w:pPr>
        <w:pStyle w:val="NormalWeb"/>
        <w:ind w:left="640" w:hanging="640"/>
        <w:divId w:val="2086679128"/>
        <w:rPr>
          <w:noProof/>
          <w:lang w:val="en-US"/>
        </w:rPr>
      </w:pPr>
      <w:r w:rsidRPr="008F61E2">
        <w:rPr>
          <w:noProof/>
          <w:lang w:val="en-US"/>
        </w:rPr>
        <w:t xml:space="preserve">(3) </w:t>
      </w:r>
      <w:r w:rsidRPr="008F61E2">
        <w:rPr>
          <w:noProof/>
          <w:lang w:val="en-US"/>
        </w:rPr>
        <w:tab/>
        <w:t xml:space="preserve">Marquette, C. </w:t>
      </w:r>
      <w:r w:rsidR="009232B2">
        <w:rPr>
          <w:noProof/>
          <w:lang w:val="en-US"/>
        </w:rPr>
        <w:t>A</w:t>
      </w:r>
      <w:r w:rsidRPr="008F61E2">
        <w:rPr>
          <w:noProof/>
          <w:lang w:val="en-US"/>
        </w:rPr>
        <w:t xml:space="preserve">; Blum, L. J. State of the Art and Recent Advances in Immunoanalytical Systems. </w:t>
      </w:r>
      <w:r w:rsidRPr="008F61E2">
        <w:rPr>
          <w:i/>
          <w:iCs/>
          <w:noProof/>
          <w:lang w:val="en-US"/>
        </w:rPr>
        <w:t>Biosens. Bioelectron.</w:t>
      </w:r>
      <w:r w:rsidRPr="008F61E2">
        <w:rPr>
          <w:noProof/>
          <w:lang w:val="en-US"/>
        </w:rPr>
        <w:t xml:space="preserve"> </w:t>
      </w:r>
      <w:r w:rsidRPr="008F61E2">
        <w:rPr>
          <w:b/>
          <w:bCs/>
          <w:noProof/>
          <w:lang w:val="en-US"/>
        </w:rPr>
        <w:t>2006</w:t>
      </w:r>
      <w:r w:rsidRPr="008F61E2">
        <w:rPr>
          <w:noProof/>
          <w:lang w:val="en-US"/>
        </w:rPr>
        <w:t xml:space="preserve">, </w:t>
      </w:r>
      <w:r w:rsidRPr="008F61E2">
        <w:rPr>
          <w:i/>
          <w:iCs/>
          <w:noProof/>
          <w:lang w:val="en-US"/>
        </w:rPr>
        <w:t>21</w:t>
      </w:r>
      <w:r w:rsidRPr="008F61E2">
        <w:rPr>
          <w:noProof/>
          <w:lang w:val="en-US"/>
        </w:rPr>
        <w:t>, 1424–1433.</w:t>
      </w:r>
    </w:p>
    <w:p w:rsidR="00227A92" w:rsidRPr="008F61E2" w:rsidRDefault="00227A92">
      <w:pPr>
        <w:pStyle w:val="NormalWeb"/>
        <w:ind w:left="640" w:hanging="640"/>
        <w:divId w:val="2086679128"/>
        <w:rPr>
          <w:noProof/>
          <w:lang w:val="en-US"/>
        </w:rPr>
      </w:pPr>
      <w:r w:rsidRPr="008F61E2">
        <w:rPr>
          <w:noProof/>
          <w:lang w:val="en-US"/>
        </w:rPr>
        <w:t xml:space="preserve">(4) </w:t>
      </w:r>
      <w:r w:rsidRPr="008F61E2">
        <w:rPr>
          <w:noProof/>
          <w:lang w:val="en-US"/>
        </w:rPr>
        <w:tab/>
        <w:t xml:space="preserve">Hock, B. Antibodies for Immunosensors a Review. </w:t>
      </w:r>
      <w:r w:rsidRPr="008F61E2">
        <w:rPr>
          <w:i/>
          <w:iCs/>
          <w:noProof/>
          <w:lang w:val="en-US"/>
        </w:rPr>
        <w:t>Anal. Chim. Acta</w:t>
      </w:r>
      <w:r w:rsidRPr="008F61E2">
        <w:rPr>
          <w:noProof/>
          <w:lang w:val="en-US"/>
        </w:rPr>
        <w:t xml:space="preserve"> </w:t>
      </w:r>
      <w:r w:rsidRPr="008F61E2">
        <w:rPr>
          <w:b/>
          <w:bCs/>
          <w:noProof/>
          <w:lang w:val="en-US"/>
        </w:rPr>
        <w:t>1997</w:t>
      </w:r>
      <w:r w:rsidRPr="008F61E2">
        <w:rPr>
          <w:noProof/>
          <w:lang w:val="en-US"/>
        </w:rPr>
        <w:t xml:space="preserve">, </w:t>
      </w:r>
      <w:r w:rsidRPr="008F61E2">
        <w:rPr>
          <w:i/>
          <w:iCs/>
          <w:noProof/>
          <w:lang w:val="en-US"/>
        </w:rPr>
        <w:t>347</w:t>
      </w:r>
      <w:r w:rsidRPr="008F61E2">
        <w:rPr>
          <w:noProof/>
          <w:lang w:val="en-US"/>
        </w:rPr>
        <w:t>, 177–186.</w:t>
      </w:r>
    </w:p>
    <w:p w:rsidR="00227A92" w:rsidRPr="008F61E2" w:rsidRDefault="00227A92">
      <w:pPr>
        <w:pStyle w:val="NormalWeb"/>
        <w:ind w:left="640" w:hanging="640"/>
        <w:divId w:val="2086679128"/>
        <w:rPr>
          <w:noProof/>
          <w:lang w:val="en-US"/>
        </w:rPr>
      </w:pPr>
      <w:r w:rsidRPr="008F61E2">
        <w:rPr>
          <w:noProof/>
          <w:lang w:val="en-US"/>
        </w:rPr>
        <w:t xml:space="preserve">(5) </w:t>
      </w:r>
      <w:r w:rsidRPr="008F61E2">
        <w:rPr>
          <w:noProof/>
          <w:lang w:val="en-US"/>
        </w:rPr>
        <w:tab/>
        <w:t xml:space="preserve">Kurosawa, S.; Park, J.-W.; Aizawa, H.; Wakida, S.-I.; Tao, H.; Ishihara, K. Quartz Crystal Microbalance Immunosensors for Environmental Monitoring. </w:t>
      </w:r>
      <w:r w:rsidRPr="008F61E2">
        <w:rPr>
          <w:i/>
          <w:iCs/>
          <w:noProof/>
          <w:lang w:val="en-US"/>
        </w:rPr>
        <w:t>Biosens. Bioelectron.</w:t>
      </w:r>
      <w:r w:rsidRPr="008F61E2">
        <w:rPr>
          <w:noProof/>
          <w:lang w:val="en-US"/>
        </w:rPr>
        <w:t xml:space="preserve"> </w:t>
      </w:r>
      <w:r w:rsidRPr="008F61E2">
        <w:rPr>
          <w:b/>
          <w:bCs/>
          <w:noProof/>
          <w:lang w:val="en-US"/>
        </w:rPr>
        <w:t>2006</w:t>
      </w:r>
      <w:r w:rsidRPr="008F61E2">
        <w:rPr>
          <w:noProof/>
          <w:lang w:val="en-US"/>
        </w:rPr>
        <w:t xml:space="preserve">, </w:t>
      </w:r>
      <w:r w:rsidRPr="008F61E2">
        <w:rPr>
          <w:i/>
          <w:iCs/>
          <w:noProof/>
          <w:lang w:val="en-US"/>
        </w:rPr>
        <w:t>22</w:t>
      </w:r>
      <w:r w:rsidRPr="008F61E2">
        <w:rPr>
          <w:noProof/>
          <w:lang w:val="en-US"/>
        </w:rPr>
        <w:t>, 473–481.</w:t>
      </w:r>
    </w:p>
    <w:p w:rsidR="00227A92" w:rsidRPr="008F61E2" w:rsidRDefault="00227A92">
      <w:pPr>
        <w:pStyle w:val="NormalWeb"/>
        <w:ind w:left="640" w:hanging="640"/>
        <w:divId w:val="2086679128"/>
        <w:rPr>
          <w:noProof/>
          <w:lang w:val="en-US"/>
        </w:rPr>
      </w:pPr>
      <w:r w:rsidRPr="008F61E2">
        <w:rPr>
          <w:noProof/>
          <w:lang w:val="en-US"/>
        </w:rPr>
        <w:t xml:space="preserve">(6) </w:t>
      </w:r>
      <w:r w:rsidRPr="008F61E2">
        <w:rPr>
          <w:noProof/>
          <w:lang w:val="en-US"/>
        </w:rPr>
        <w:tab/>
        <w:t xml:space="preserve">Butt, È.; Skla, P.; Raiteri, R.; Grattarola, M. Micromechanical Cantilever-Based Biosensors. </w:t>
      </w:r>
      <w:r w:rsidRPr="008F61E2">
        <w:rPr>
          <w:i/>
          <w:iCs/>
          <w:noProof/>
          <w:lang w:val="en-US"/>
        </w:rPr>
        <w:t>Sensors and actuators</w:t>
      </w:r>
      <w:r w:rsidRPr="008F61E2">
        <w:rPr>
          <w:noProof/>
          <w:lang w:val="en-US"/>
        </w:rPr>
        <w:t xml:space="preserve"> </w:t>
      </w:r>
      <w:r w:rsidRPr="008F61E2">
        <w:rPr>
          <w:b/>
          <w:bCs/>
          <w:noProof/>
          <w:lang w:val="en-US"/>
        </w:rPr>
        <w:t>2001</w:t>
      </w:r>
      <w:r w:rsidRPr="008F61E2">
        <w:rPr>
          <w:noProof/>
          <w:lang w:val="en-US"/>
        </w:rPr>
        <w:t xml:space="preserve">, </w:t>
      </w:r>
      <w:r w:rsidRPr="008F61E2">
        <w:rPr>
          <w:i/>
          <w:iCs/>
          <w:noProof/>
          <w:lang w:val="en-US"/>
        </w:rPr>
        <w:t>79</w:t>
      </w:r>
      <w:r w:rsidRPr="008F61E2">
        <w:rPr>
          <w:noProof/>
          <w:lang w:val="en-US"/>
        </w:rPr>
        <w:t>, 115–126.</w:t>
      </w:r>
    </w:p>
    <w:p w:rsidR="00227A92" w:rsidRPr="008F61E2" w:rsidRDefault="00227A92">
      <w:pPr>
        <w:pStyle w:val="NormalWeb"/>
        <w:ind w:left="640" w:hanging="640"/>
        <w:divId w:val="2086679128"/>
        <w:rPr>
          <w:noProof/>
          <w:lang w:val="en-US"/>
        </w:rPr>
      </w:pPr>
      <w:r w:rsidRPr="008F61E2">
        <w:rPr>
          <w:noProof/>
          <w:lang w:val="en-US"/>
        </w:rPr>
        <w:t xml:space="preserve">(7) </w:t>
      </w:r>
      <w:r w:rsidRPr="008F61E2">
        <w:rPr>
          <w:noProof/>
          <w:lang w:val="en-US"/>
        </w:rPr>
        <w:tab/>
        <w:t xml:space="preserve">Guilbault, G. G.; Amia, F. Recent Developments in Piezoelectric Immunosensors* A Review. </w:t>
      </w:r>
      <w:r w:rsidRPr="008F61E2">
        <w:rPr>
          <w:i/>
          <w:iCs/>
          <w:noProof/>
          <w:lang w:val="en-US"/>
        </w:rPr>
        <w:t>Analyst</w:t>
      </w:r>
      <w:r w:rsidRPr="008F61E2">
        <w:rPr>
          <w:noProof/>
          <w:lang w:val="en-US"/>
        </w:rPr>
        <w:t xml:space="preserve"> </w:t>
      </w:r>
      <w:r w:rsidRPr="008F61E2">
        <w:rPr>
          <w:b/>
          <w:bCs/>
          <w:noProof/>
          <w:lang w:val="en-US"/>
        </w:rPr>
        <w:t>1994</w:t>
      </w:r>
      <w:r w:rsidRPr="008F61E2">
        <w:rPr>
          <w:noProof/>
          <w:lang w:val="en-US"/>
        </w:rPr>
        <w:t xml:space="preserve">, </w:t>
      </w:r>
      <w:r w:rsidRPr="008F61E2">
        <w:rPr>
          <w:i/>
          <w:iCs/>
          <w:noProof/>
          <w:lang w:val="en-US"/>
        </w:rPr>
        <w:t>11</w:t>
      </w:r>
      <w:r w:rsidRPr="008F61E2">
        <w:rPr>
          <w:noProof/>
          <w:lang w:val="en-US"/>
        </w:rPr>
        <w:t>, 2279–2282.</w:t>
      </w:r>
    </w:p>
    <w:p w:rsidR="00227A92" w:rsidRPr="008F61E2" w:rsidRDefault="00227A92">
      <w:pPr>
        <w:pStyle w:val="NormalWeb"/>
        <w:ind w:left="640" w:hanging="640"/>
        <w:divId w:val="2086679128"/>
        <w:rPr>
          <w:noProof/>
          <w:lang w:val="en-US"/>
        </w:rPr>
      </w:pPr>
      <w:r w:rsidRPr="008F61E2">
        <w:rPr>
          <w:noProof/>
          <w:lang w:val="en-US"/>
        </w:rPr>
        <w:t xml:space="preserve">(8) </w:t>
      </w:r>
      <w:r w:rsidRPr="008F61E2">
        <w:rPr>
          <w:noProof/>
          <w:lang w:val="en-US"/>
        </w:rPr>
        <w:tab/>
        <w:t xml:space="preserve">Abdulhalim, I.; Zourob, M.; Lakhtakia, A. Surface Plasmon Resonance for Biosensing: A Mini-Review. </w:t>
      </w:r>
      <w:r w:rsidRPr="008F61E2">
        <w:rPr>
          <w:i/>
          <w:iCs/>
          <w:noProof/>
          <w:lang w:val="en-US"/>
        </w:rPr>
        <w:t>Electromagnetics</w:t>
      </w:r>
      <w:r w:rsidRPr="008F61E2">
        <w:rPr>
          <w:noProof/>
          <w:lang w:val="en-US"/>
        </w:rPr>
        <w:t xml:space="preserve"> </w:t>
      </w:r>
      <w:r w:rsidRPr="008F61E2">
        <w:rPr>
          <w:b/>
          <w:bCs/>
          <w:noProof/>
          <w:lang w:val="en-US"/>
        </w:rPr>
        <w:t>2008</w:t>
      </w:r>
      <w:r w:rsidRPr="008F61E2">
        <w:rPr>
          <w:noProof/>
          <w:lang w:val="en-US"/>
        </w:rPr>
        <w:t xml:space="preserve">, </w:t>
      </w:r>
      <w:r w:rsidRPr="008F61E2">
        <w:rPr>
          <w:i/>
          <w:iCs/>
          <w:noProof/>
          <w:lang w:val="en-US"/>
        </w:rPr>
        <w:t>28</w:t>
      </w:r>
      <w:r w:rsidRPr="008F61E2">
        <w:rPr>
          <w:noProof/>
          <w:lang w:val="en-US"/>
        </w:rPr>
        <w:t>, 214–242.</w:t>
      </w:r>
    </w:p>
    <w:p w:rsidR="00227A92" w:rsidRPr="008F61E2" w:rsidRDefault="00227A92">
      <w:pPr>
        <w:pStyle w:val="NormalWeb"/>
        <w:ind w:left="640" w:hanging="640"/>
        <w:divId w:val="2086679128"/>
        <w:rPr>
          <w:noProof/>
          <w:lang w:val="en-US"/>
        </w:rPr>
      </w:pPr>
      <w:r w:rsidRPr="008F61E2">
        <w:rPr>
          <w:noProof/>
          <w:lang w:val="en-US"/>
        </w:rPr>
        <w:t xml:space="preserve">(9) </w:t>
      </w:r>
      <w:r w:rsidRPr="008F61E2">
        <w:rPr>
          <w:noProof/>
          <w:lang w:val="en-US"/>
        </w:rPr>
        <w:tab/>
        <w:t xml:space="preserve">Lee, C.-S.; Kim, S. K.; Kim, M. Ion-Sensitive Field-Effect Transistor for Biological Sensing. </w:t>
      </w:r>
      <w:r w:rsidRPr="008F61E2">
        <w:rPr>
          <w:i/>
          <w:iCs/>
          <w:noProof/>
          <w:lang w:val="en-US"/>
        </w:rPr>
        <w:t>Sensors</w:t>
      </w:r>
      <w:r w:rsidRPr="008F61E2">
        <w:rPr>
          <w:noProof/>
          <w:lang w:val="en-US"/>
        </w:rPr>
        <w:t xml:space="preserve"> </w:t>
      </w:r>
      <w:r w:rsidRPr="008F61E2">
        <w:rPr>
          <w:b/>
          <w:bCs/>
          <w:noProof/>
          <w:lang w:val="en-US"/>
        </w:rPr>
        <w:t>2009</w:t>
      </w:r>
      <w:r w:rsidRPr="008F61E2">
        <w:rPr>
          <w:noProof/>
          <w:lang w:val="en-US"/>
        </w:rPr>
        <w:t xml:space="preserve">, </w:t>
      </w:r>
      <w:r w:rsidRPr="008F61E2">
        <w:rPr>
          <w:i/>
          <w:iCs/>
          <w:noProof/>
          <w:lang w:val="en-US"/>
        </w:rPr>
        <w:t>9</w:t>
      </w:r>
      <w:r w:rsidRPr="008F61E2">
        <w:rPr>
          <w:noProof/>
          <w:lang w:val="en-US"/>
        </w:rPr>
        <w:t>, 7111–7131.</w:t>
      </w:r>
    </w:p>
    <w:p w:rsidR="00227A92" w:rsidRPr="008F61E2" w:rsidRDefault="00227A92">
      <w:pPr>
        <w:pStyle w:val="NormalWeb"/>
        <w:ind w:left="640" w:hanging="640"/>
        <w:divId w:val="2086679128"/>
        <w:rPr>
          <w:noProof/>
          <w:lang w:val="en-US"/>
        </w:rPr>
      </w:pPr>
      <w:r w:rsidRPr="008F61E2">
        <w:rPr>
          <w:noProof/>
          <w:lang w:val="en-US"/>
        </w:rPr>
        <w:t xml:space="preserve">(10) </w:t>
      </w:r>
      <w:r w:rsidRPr="008F61E2">
        <w:rPr>
          <w:noProof/>
          <w:lang w:val="en-US"/>
        </w:rPr>
        <w:tab/>
        <w:t xml:space="preserve">Liang, K.; Mu, W.; Huang, M.; Yu, Z.; Lai, Q. Interdigitated Conductometric Immunosensor for Determination of Interleukin-6 in Humans Based on Dendrimer G4 and Colloidal Gold Modified Composite Film. </w:t>
      </w:r>
      <w:r w:rsidRPr="008F61E2">
        <w:rPr>
          <w:i/>
          <w:iCs/>
          <w:noProof/>
          <w:lang w:val="en-US"/>
        </w:rPr>
        <w:t>Electroanalysis</w:t>
      </w:r>
      <w:r w:rsidRPr="008F61E2">
        <w:rPr>
          <w:noProof/>
          <w:lang w:val="en-US"/>
        </w:rPr>
        <w:t xml:space="preserve"> </w:t>
      </w:r>
      <w:r w:rsidRPr="008F61E2">
        <w:rPr>
          <w:b/>
          <w:bCs/>
          <w:noProof/>
          <w:lang w:val="en-US"/>
        </w:rPr>
        <w:t>2006</w:t>
      </w:r>
      <w:r w:rsidRPr="008F61E2">
        <w:rPr>
          <w:noProof/>
          <w:lang w:val="en-US"/>
        </w:rPr>
        <w:t xml:space="preserve">, </w:t>
      </w:r>
      <w:r w:rsidRPr="008F61E2">
        <w:rPr>
          <w:i/>
          <w:iCs/>
          <w:noProof/>
          <w:lang w:val="en-US"/>
        </w:rPr>
        <w:t>18</w:t>
      </w:r>
      <w:r w:rsidRPr="008F61E2">
        <w:rPr>
          <w:noProof/>
          <w:lang w:val="en-US"/>
        </w:rPr>
        <w:t>, 1505–1510.</w:t>
      </w:r>
    </w:p>
    <w:p w:rsidR="00227A92" w:rsidRPr="008F61E2" w:rsidRDefault="00227A92">
      <w:pPr>
        <w:pStyle w:val="NormalWeb"/>
        <w:ind w:left="640" w:hanging="640"/>
        <w:divId w:val="2086679128"/>
        <w:rPr>
          <w:noProof/>
          <w:lang w:val="en-US"/>
        </w:rPr>
      </w:pPr>
      <w:r w:rsidRPr="008F61E2">
        <w:rPr>
          <w:noProof/>
          <w:lang w:val="en-US"/>
        </w:rPr>
        <w:t xml:space="preserve">(11) </w:t>
      </w:r>
      <w:r w:rsidRPr="008F61E2">
        <w:rPr>
          <w:noProof/>
          <w:lang w:val="en-US"/>
        </w:rPr>
        <w:tab/>
        <w:t xml:space="preserve">Yang, L.; Li, Y.; Erf, G. F. Interdigitated Array Microelectrode-Based Electrochemical Impedance Immunosensor for Detection of Escherichia Coli O157 : H7. </w:t>
      </w:r>
      <w:r w:rsidRPr="008F61E2">
        <w:rPr>
          <w:i/>
          <w:iCs/>
          <w:noProof/>
          <w:lang w:val="en-US"/>
        </w:rPr>
        <w:t>Anal. Chem.</w:t>
      </w:r>
      <w:r w:rsidRPr="008F61E2">
        <w:rPr>
          <w:noProof/>
          <w:lang w:val="en-US"/>
        </w:rPr>
        <w:t xml:space="preserve"> </w:t>
      </w:r>
      <w:r w:rsidRPr="008F61E2">
        <w:rPr>
          <w:b/>
          <w:bCs/>
          <w:noProof/>
          <w:lang w:val="en-US"/>
        </w:rPr>
        <w:t>2004</w:t>
      </w:r>
      <w:r w:rsidRPr="008F61E2">
        <w:rPr>
          <w:noProof/>
          <w:lang w:val="en-US"/>
        </w:rPr>
        <w:t xml:space="preserve">, </w:t>
      </w:r>
      <w:r w:rsidRPr="008F61E2">
        <w:rPr>
          <w:i/>
          <w:iCs/>
          <w:noProof/>
          <w:lang w:val="en-US"/>
        </w:rPr>
        <w:t>76</w:t>
      </w:r>
      <w:r w:rsidRPr="008F61E2">
        <w:rPr>
          <w:noProof/>
          <w:lang w:val="en-US"/>
        </w:rPr>
        <w:t>, 1107–1113.</w:t>
      </w:r>
    </w:p>
    <w:p w:rsidR="00227A92" w:rsidRPr="008F61E2" w:rsidRDefault="00227A92">
      <w:pPr>
        <w:pStyle w:val="NormalWeb"/>
        <w:ind w:left="640" w:hanging="640"/>
        <w:divId w:val="2086679128"/>
        <w:rPr>
          <w:noProof/>
          <w:lang w:val="en-US"/>
        </w:rPr>
      </w:pPr>
      <w:r w:rsidRPr="008F61E2">
        <w:rPr>
          <w:noProof/>
          <w:lang w:val="en-US"/>
        </w:rPr>
        <w:t xml:space="preserve">(12) </w:t>
      </w:r>
      <w:r w:rsidRPr="008F61E2">
        <w:rPr>
          <w:noProof/>
          <w:lang w:val="en-US"/>
        </w:rPr>
        <w:tab/>
        <w:t xml:space="preserve">Hays, H. C. W.; Millner, P. </w:t>
      </w:r>
      <w:r w:rsidR="009232B2">
        <w:rPr>
          <w:noProof/>
          <w:lang w:val="en-US"/>
        </w:rPr>
        <w:t>A</w:t>
      </w:r>
      <w:r w:rsidRPr="008F61E2">
        <w:rPr>
          <w:noProof/>
          <w:lang w:val="en-US"/>
        </w:rPr>
        <w:t xml:space="preserve">.; Prodromidis, M. I. Development of Capacitance Based Immunosensors on Mixed Self-Assembled Monolayers. </w:t>
      </w:r>
      <w:r w:rsidRPr="008F61E2">
        <w:rPr>
          <w:i/>
          <w:iCs/>
          <w:noProof/>
          <w:lang w:val="en-US"/>
        </w:rPr>
        <w:t>Sensors Actuators B Chem.</w:t>
      </w:r>
      <w:r w:rsidRPr="008F61E2">
        <w:rPr>
          <w:noProof/>
          <w:lang w:val="en-US"/>
        </w:rPr>
        <w:t xml:space="preserve"> </w:t>
      </w:r>
      <w:r w:rsidRPr="008F61E2">
        <w:rPr>
          <w:b/>
          <w:bCs/>
          <w:noProof/>
          <w:lang w:val="en-US"/>
        </w:rPr>
        <w:t>2006</w:t>
      </w:r>
      <w:r w:rsidRPr="008F61E2">
        <w:rPr>
          <w:noProof/>
          <w:lang w:val="en-US"/>
        </w:rPr>
        <w:t xml:space="preserve">, </w:t>
      </w:r>
      <w:r w:rsidRPr="008F61E2">
        <w:rPr>
          <w:i/>
          <w:iCs/>
          <w:noProof/>
          <w:lang w:val="en-US"/>
        </w:rPr>
        <w:t>114</w:t>
      </w:r>
      <w:r w:rsidRPr="008F61E2">
        <w:rPr>
          <w:noProof/>
          <w:lang w:val="en-US"/>
        </w:rPr>
        <w:t>, 1064–1070.</w:t>
      </w:r>
    </w:p>
    <w:p w:rsidR="00227A92" w:rsidRPr="008F61E2" w:rsidRDefault="00227A92">
      <w:pPr>
        <w:pStyle w:val="NormalWeb"/>
        <w:ind w:left="640" w:hanging="640"/>
        <w:divId w:val="2086679128"/>
        <w:rPr>
          <w:noProof/>
          <w:lang w:val="en-US"/>
        </w:rPr>
      </w:pPr>
      <w:r w:rsidRPr="008F61E2">
        <w:rPr>
          <w:noProof/>
          <w:lang w:val="en-US"/>
        </w:rPr>
        <w:t xml:space="preserve">(13) </w:t>
      </w:r>
      <w:r w:rsidRPr="008F61E2">
        <w:rPr>
          <w:noProof/>
          <w:lang w:val="en-US"/>
        </w:rPr>
        <w:tab/>
        <w:t xml:space="preserve">Wan, Y.; Su, Y.; Zhu, X.; Liu, G.; Fan, C. Development of Electrochemical Immunosensors towards Point of Care Diagnostics. </w:t>
      </w:r>
      <w:r w:rsidRPr="008F61E2">
        <w:rPr>
          <w:i/>
          <w:iCs/>
          <w:noProof/>
          <w:lang w:val="en-US"/>
        </w:rPr>
        <w:t>Biosens. Bioelectron.</w:t>
      </w:r>
      <w:r w:rsidRPr="008F61E2">
        <w:rPr>
          <w:noProof/>
          <w:lang w:val="en-US"/>
        </w:rPr>
        <w:t xml:space="preserve"> </w:t>
      </w:r>
      <w:r w:rsidRPr="008F61E2">
        <w:rPr>
          <w:b/>
          <w:bCs/>
          <w:noProof/>
          <w:lang w:val="en-US"/>
        </w:rPr>
        <w:t>2013</w:t>
      </w:r>
      <w:r w:rsidRPr="008F61E2">
        <w:rPr>
          <w:noProof/>
          <w:lang w:val="en-US"/>
        </w:rPr>
        <w:t xml:space="preserve">, </w:t>
      </w:r>
      <w:r w:rsidRPr="008F61E2">
        <w:rPr>
          <w:i/>
          <w:iCs/>
          <w:noProof/>
          <w:lang w:val="en-US"/>
        </w:rPr>
        <w:t>47</w:t>
      </w:r>
      <w:r w:rsidRPr="008F61E2">
        <w:rPr>
          <w:noProof/>
          <w:lang w:val="en-US"/>
        </w:rPr>
        <w:t>, 1–11.</w:t>
      </w:r>
    </w:p>
    <w:p w:rsidR="00227A92" w:rsidRPr="008F61E2" w:rsidRDefault="00227A92">
      <w:pPr>
        <w:pStyle w:val="NormalWeb"/>
        <w:ind w:left="640" w:hanging="640"/>
        <w:divId w:val="2086679128"/>
        <w:rPr>
          <w:noProof/>
          <w:lang w:val="en-US"/>
        </w:rPr>
      </w:pPr>
      <w:r w:rsidRPr="008F61E2">
        <w:rPr>
          <w:noProof/>
          <w:lang w:val="en-US"/>
        </w:rPr>
        <w:lastRenderedPageBreak/>
        <w:t xml:space="preserve">(14) </w:t>
      </w:r>
      <w:r w:rsidRPr="008F61E2">
        <w:rPr>
          <w:noProof/>
          <w:lang w:val="en-US"/>
        </w:rPr>
        <w:tab/>
        <w:t xml:space="preserve">Casal, P.; Wen, X.; Gupta, S.; Nicholson, T.; Wang, Y.; Theiss, A.; Bhushan, B.; Brillson, L.; Lu, W.; Lee, S. C. ImmunoFET Feasibility in Physiological Salt Environments. </w:t>
      </w:r>
      <w:r w:rsidRPr="008F61E2">
        <w:rPr>
          <w:i/>
          <w:iCs/>
          <w:noProof/>
          <w:lang w:val="en-US"/>
        </w:rPr>
        <w:t>Philos. Trans. A. Math. Phys. Eng. Sci.</w:t>
      </w:r>
      <w:r w:rsidRPr="008F61E2">
        <w:rPr>
          <w:noProof/>
          <w:lang w:val="en-US"/>
        </w:rPr>
        <w:t xml:space="preserve"> </w:t>
      </w:r>
      <w:r w:rsidRPr="008F61E2">
        <w:rPr>
          <w:b/>
          <w:bCs/>
          <w:noProof/>
          <w:lang w:val="en-US"/>
        </w:rPr>
        <w:t>2012</w:t>
      </w:r>
      <w:r w:rsidRPr="008F61E2">
        <w:rPr>
          <w:noProof/>
          <w:lang w:val="en-US"/>
        </w:rPr>
        <w:t xml:space="preserve">, </w:t>
      </w:r>
      <w:r w:rsidRPr="008F61E2">
        <w:rPr>
          <w:i/>
          <w:iCs/>
          <w:noProof/>
          <w:lang w:val="en-US"/>
        </w:rPr>
        <w:t>370</w:t>
      </w:r>
      <w:r w:rsidRPr="008F61E2">
        <w:rPr>
          <w:noProof/>
          <w:lang w:val="en-US"/>
        </w:rPr>
        <w:t>, 2474–2488.</w:t>
      </w:r>
    </w:p>
    <w:p w:rsidR="00227A92" w:rsidRPr="008F61E2" w:rsidRDefault="00227A92">
      <w:pPr>
        <w:pStyle w:val="NormalWeb"/>
        <w:ind w:left="640" w:hanging="640"/>
        <w:divId w:val="2086679128"/>
        <w:rPr>
          <w:noProof/>
          <w:lang w:val="en-US"/>
        </w:rPr>
      </w:pPr>
      <w:r w:rsidRPr="008F61E2">
        <w:rPr>
          <w:noProof/>
          <w:lang w:val="en-US"/>
        </w:rPr>
        <w:t xml:space="preserve">(15) </w:t>
      </w:r>
      <w:r w:rsidRPr="008F61E2">
        <w:rPr>
          <w:noProof/>
          <w:lang w:val="en-US"/>
        </w:rPr>
        <w:tab/>
        <w:t xml:space="preserve">Palazzo, G.; De Tullio, D.; Magliulo, M.; Mallardi, A.; Intranuovo, F.; Mulla, M. Y.; Favia, P.; Vikholm-Lundin, I.; Torsi, L. Detection Beyond Debye’s Length with an Electrolyte-Gated Organic Field-Effect Transistor. </w:t>
      </w:r>
      <w:r w:rsidRPr="008F61E2">
        <w:rPr>
          <w:i/>
          <w:iCs/>
          <w:noProof/>
          <w:lang w:val="en-US"/>
        </w:rPr>
        <w:t>Adv. Mater.</w:t>
      </w:r>
      <w:r w:rsidRPr="008F61E2">
        <w:rPr>
          <w:noProof/>
          <w:lang w:val="en-US"/>
        </w:rPr>
        <w:t xml:space="preserve"> </w:t>
      </w:r>
      <w:r w:rsidRPr="008F61E2">
        <w:rPr>
          <w:b/>
          <w:bCs/>
          <w:noProof/>
          <w:lang w:val="en-US"/>
        </w:rPr>
        <w:t>2014</w:t>
      </w:r>
      <w:r w:rsidRPr="008F61E2">
        <w:rPr>
          <w:noProof/>
          <w:lang w:val="en-US"/>
        </w:rPr>
        <w:t xml:space="preserve">, </w:t>
      </w:r>
      <w:r w:rsidR="00BA3BC3">
        <w:rPr>
          <w:noProof/>
          <w:lang w:val="en-US"/>
        </w:rPr>
        <w:t>27, 91</w:t>
      </w:r>
      <w:r w:rsidRPr="008F61E2">
        <w:rPr>
          <w:noProof/>
          <w:lang w:val="en-US"/>
        </w:rPr>
        <w:t>1–</w:t>
      </w:r>
      <w:r w:rsidR="00BA3BC3">
        <w:rPr>
          <w:noProof/>
          <w:lang w:val="en-US"/>
        </w:rPr>
        <w:t>91</w:t>
      </w:r>
      <w:r w:rsidRPr="008F61E2">
        <w:rPr>
          <w:noProof/>
          <w:lang w:val="en-US"/>
        </w:rPr>
        <w:t>6.</w:t>
      </w:r>
    </w:p>
    <w:p w:rsidR="00227A92" w:rsidRDefault="00227A92">
      <w:pPr>
        <w:pStyle w:val="NormalWeb"/>
        <w:ind w:left="640" w:hanging="640"/>
        <w:divId w:val="2086679128"/>
        <w:rPr>
          <w:noProof/>
          <w:lang w:val="en-US"/>
        </w:rPr>
      </w:pPr>
      <w:r w:rsidRPr="008F61E2">
        <w:rPr>
          <w:noProof/>
          <w:lang w:val="en-US"/>
        </w:rPr>
        <w:t xml:space="preserve">(16) </w:t>
      </w:r>
      <w:r w:rsidRPr="008F61E2">
        <w:rPr>
          <w:noProof/>
          <w:lang w:val="en-US"/>
        </w:rPr>
        <w:tab/>
        <w:t xml:space="preserve">Sheehan, a. D.; Quinn, J.; Daly, S.; Dillon, P.; O’Kennedy, R. The Development of Novel Miniaturized Immuno-Sensing Devices: A Review of a Small Technology with a Large Future. </w:t>
      </w:r>
      <w:r w:rsidRPr="008F61E2">
        <w:rPr>
          <w:i/>
          <w:iCs/>
          <w:noProof/>
          <w:lang w:val="en-US"/>
        </w:rPr>
        <w:t>Anal. Lett.</w:t>
      </w:r>
      <w:r w:rsidRPr="008F61E2">
        <w:rPr>
          <w:noProof/>
          <w:lang w:val="en-US"/>
        </w:rPr>
        <w:t xml:space="preserve"> </w:t>
      </w:r>
      <w:r w:rsidRPr="008F61E2">
        <w:rPr>
          <w:b/>
          <w:bCs/>
          <w:noProof/>
          <w:lang w:val="en-US"/>
        </w:rPr>
        <w:t>2003</w:t>
      </w:r>
      <w:r w:rsidRPr="008F61E2">
        <w:rPr>
          <w:noProof/>
          <w:lang w:val="en-US"/>
        </w:rPr>
        <w:t xml:space="preserve">, </w:t>
      </w:r>
      <w:r w:rsidRPr="008F61E2">
        <w:rPr>
          <w:i/>
          <w:iCs/>
          <w:noProof/>
          <w:lang w:val="en-US"/>
        </w:rPr>
        <w:t>36</w:t>
      </w:r>
      <w:r w:rsidRPr="008F61E2">
        <w:rPr>
          <w:noProof/>
          <w:lang w:val="en-US"/>
        </w:rPr>
        <w:t>, 511–537.</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1</w:t>
      </w:r>
      <w:r w:rsidRPr="008F61E2">
        <w:rPr>
          <w:noProof/>
          <w:lang w:val="en-US"/>
        </w:rPr>
        <w:t xml:space="preserve">7) </w:t>
      </w:r>
      <w:r w:rsidRPr="008F61E2">
        <w:rPr>
          <w:noProof/>
          <w:lang w:val="en-US"/>
        </w:rPr>
        <w:tab/>
        <w:t xml:space="preserve">Evans, E.; Ritchie, K. Dynamic Strength of Molecular Adhesion Bonds. </w:t>
      </w:r>
      <w:r w:rsidRPr="008F61E2">
        <w:rPr>
          <w:i/>
          <w:iCs/>
          <w:noProof/>
          <w:lang w:val="en-US"/>
        </w:rPr>
        <w:t>Biophys. J.</w:t>
      </w:r>
      <w:r w:rsidRPr="008F61E2">
        <w:rPr>
          <w:noProof/>
          <w:lang w:val="en-US"/>
        </w:rPr>
        <w:t xml:space="preserve"> </w:t>
      </w:r>
      <w:r w:rsidRPr="008F61E2">
        <w:rPr>
          <w:b/>
          <w:bCs/>
          <w:noProof/>
          <w:lang w:val="en-US"/>
        </w:rPr>
        <w:t>1997</w:t>
      </w:r>
      <w:r w:rsidRPr="008F61E2">
        <w:rPr>
          <w:noProof/>
          <w:lang w:val="en-US"/>
        </w:rPr>
        <w:t xml:space="preserve">, </w:t>
      </w:r>
      <w:r w:rsidRPr="008F61E2">
        <w:rPr>
          <w:i/>
          <w:iCs/>
          <w:noProof/>
          <w:lang w:val="en-US"/>
        </w:rPr>
        <w:t>72</w:t>
      </w:r>
      <w:r w:rsidRPr="008F61E2">
        <w:rPr>
          <w:noProof/>
          <w:lang w:val="en-US"/>
        </w:rPr>
        <w:t>, 1541–1555.</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1</w:t>
      </w:r>
      <w:r w:rsidRPr="008F61E2">
        <w:rPr>
          <w:noProof/>
          <w:lang w:val="en-US"/>
        </w:rPr>
        <w:t xml:space="preserve">8) </w:t>
      </w:r>
      <w:r w:rsidRPr="008F61E2">
        <w:rPr>
          <w:noProof/>
          <w:lang w:val="en-US"/>
        </w:rPr>
        <w:tab/>
        <w:t xml:space="preserve">Merkel, R.; Nassoy, P.; Leung, A.; Ritchie, K.; Evans, E. Energy Landscapes of Receptor-Ligand Bonds Explored with Dynamic Force Spectroscopy. </w:t>
      </w:r>
      <w:r w:rsidRPr="008F61E2">
        <w:rPr>
          <w:i/>
          <w:iCs/>
          <w:noProof/>
          <w:lang w:val="en-US"/>
        </w:rPr>
        <w:t>Nature</w:t>
      </w:r>
      <w:r w:rsidRPr="008F61E2">
        <w:rPr>
          <w:noProof/>
          <w:lang w:val="en-US"/>
        </w:rPr>
        <w:t xml:space="preserve"> </w:t>
      </w:r>
      <w:r w:rsidRPr="008F61E2">
        <w:rPr>
          <w:b/>
          <w:bCs/>
          <w:noProof/>
          <w:lang w:val="en-US"/>
        </w:rPr>
        <w:t>1999</w:t>
      </w:r>
      <w:r w:rsidRPr="008F61E2">
        <w:rPr>
          <w:noProof/>
          <w:lang w:val="en-US"/>
        </w:rPr>
        <w:t xml:space="preserve">, </w:t>
      </w:r>
      <w:r w:rsidRPr="008F61E2">
        <w:rPr>
          <w:i/>
          <w:iCs/>
          <w:noProof/>
          <w:lang w:val="en-US"/>
        </w:rPr>
        <w:t>397</w:t>
      </w:r>
      <w:r w:rsidRPr="008F61E2">
        <w:rPr>
          <w:noProof/>
          <w:lang w:val="en-US"/>
        </w:rPr>
        <w:t>, 50–53.</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1</w:t>
      </w:r>
      <w:r w:rsidRPr="008F61E2">
        <w:rPr>
          <w:noProof/>
          <w:lang w:val="en-US"/>
        </w:rPr>
        <w:t xml:space="preserve">9) </w:t>
      </w:r>
      <w:r w:rsidRPr="008F61E2">
        <w:rPr>
          <w:noProof/>
          <w:lang w:val="en-US"/>
        </w:rPr>
        <w:tab/>
        <w:t xml:space="preserve">Medalsy, I. D.; Müller, D. J. Nanomechanical Properties of Proteins and Membranes Depend on Loading Rate and Electrostatic Interactions. </w:t>
      </w:r>
      <w:r w:rsidRPr="008F61E2">
        <w:rPr>
          <w:i/>
          <w:iCs/>
          <w:noProof/>
          <w:lang w:val="en-US"/>
        </w:rPr>
        <w:t>ACS Nano</w:t>
      </w:r>
      <w:r w:rsidRPr="008F61E2">
        <w:rPr>
          <w:noProof/>
          <w:lang w:val="en-US"/>
        </w:rPr>
        <w:t xml:space="preserve"> </w:t>
      </w:r>
      <w:r w:rsidRPr="008F61E2">
        <w:rPr>
          <w:b/>
          <w:bCs/>
          <w:noProof/>
          <w:lang w:val="en-US"/>
        </w:rPr>
        <w:t>2013</w:t>
      </w:r>
      <w:r w:rsidRPr="008F61E2">
        <w:rPr>
          <w:noProof/>
          <w:lang w:val="en-US"/>
        </w:rPr>
        <w:t xml:space="preserve">, </w:t>
      </w:r>
      <w:r w:rsidRPr="008F61E2">
        <w:rPr>
          <w:i/>
          <w:iCs/>
          <w:noProof/>
          <w:lang w:val="en-US"/>
        </w:rPr>
        <w:t>7</w:t>
      </w:r>
      <w:r w:rsidRPr="008F61E2">
        <w:rPr>
          <w:noProof/>
          <w:lang w:val="en-US"/>
        </w:rPr>
        <w:t>, 2642–2650.</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2</w:t>
      </w:r>
      <w:r w:rsidRPr="008F61E2">
        <w:rPr>
          <w:noProof/>
          <w:lang w:val="en-US"/>
        </w:rPr>
        <w:t xml:space="preserve">0) </w:t>
      </w:r>
      <w:r w:rsidRPr="008F61E2">
        <w:rPr>
          <w:noProof/>
          <w:lang w:val="en-US"/>
        </w:rPr>
        <w:tab/>
        <w:t xml:space="preserve">Florin, E. L.; Moy, V. T.; Gaub, H. E. Adhesion Forces between Individual Ligand-Receptor Pairs. </w:t>
      </w:r>
      <w:r w:rsidRPr="008F61E2">
        <w:rPr>
          <w:i/>
          <w:iCs/>
          <w:noProof/>
          <w:lang w:val="en-US"/>
        </w:rPr>
        <w:t>Science (80-. ).</w:t>
      </w:r>
      <w:r w:rsidRPr="008F61E2">
        <w:rPr>
          <w:noProof/>
          <w:lang w:val="en-US"/>
        </w:rPr>
        <w:t xml:space="preserve"> </w:t>
      </w:r>
      <w:r w:rsidRPr="008F61E2">
        <w:rPr>
          <w:b/>
          <w:bCs/>
          <w:noProof/>
          <w:lang w:val="en-US"/>
        </w:rPr>
        <w:t>1994</w:t>
      </w:r>
      <w:r w:rsidRPr="008F61E2">
        <w:rPr>
          <w:noProof/>
          <w:lang w:val="en-US"/>
        </w:rPr>
        <w:t xml:space="preserve">, </w:t>
      </w:r>
      <w:r w:rsidRPr="008F61E2">
        <w:rPr>
          <w:i/>
          <w:iCs/>
          <w:noProof/>
          <w:lang w:val="en-US"/>
        </w:rPr>
        <w:t>264</w:t>
      </w:r>
      <w:r w:rsidRPr="008F61E2">
        <w:rPr>
          <w:noProof/>
          <w:lang w:val="en-US"/>
        </w:rPr>
        <w:t>, 415–417.</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2</w:t>
      </w:r>
      <w:r w:rsidRPr="008F61E2">
        <w:rPr>
          <w:noProof/>
          <w:lang w:val="en-US"/>
        </w:rPr>
        <w:t xml:space="preserve">1) </w:t>
      </w:r>
      <w:r w:rsidRPr="008F61E2">
        <w:rPr>
          <w:noProof/>
          <w:lang w:val="en-US"/>
        </w:rPr>
        <w:tab/>
        <w:t xml:space="preserve">Moy, V. T.; Florin, E. L.; Gaub, H. E. Intermolecular Forces and Energies between Ligands and Receptors. </w:t>
      </w:r>
      <w:r w:rsidRPr="008F61E2">
        <w:rPr>
          <w:i/>
          <w:iCs/>
          <w:noProof/>
          <w:lang w:val="en-US"/>
        </w:rPr>
        <w:t>Science</w:t>
      </w:r>
      <w:r w:rsidRPr="008F61E2">
        <w:rPr>
          <w:noProof/>
          <w:lang w:val="en-US"/>
        </w:rPr>
        <w:t xml:space="preserve"> </w:t>
      </w:r>
      <w:r w:rsidRPr="008F61E2">
        <w:rPr>
          <w:b/>
          <w:bCs/>
          <w:noProof/>
          <w:lang w:val="en-US"/>
        </w:rPr>
        <w:t>1994</w:t>
      </w:r>
      <w:r w:rsidRPr="008F61E2">
        <w:rPr>
          <w:noProof/>
          <w:lang w:val="en-US"/>
        </w:rPr>
        <w:t xml:space="preserve">, </w:t>
      </w:r>
      <w:r w:rsidRPr="008F61E2">
        <w:rPr>
          <w:i/>
          <w:iCs/>
          <w:noProof/>
          <w:lang w:val="en-US"/>
        </w:rPr>
        <w:t>266</w:t>
      </w:r>
      <w:r w:rsidRPr="008F61E2">
        <w:rPr>
          <w:noProof/>
          <w:lang w:val="en-US"/>
        </w:rPr>
        <w:t>, 257–259.</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2</w:t>
      </w:r>
      <w:r w:rsidRPr="008F61E2">
        <w:rPr>
          <w:noProof/>
          <w:lang w:val="en-US"/>
        </w:rPr>
        <w:t xml:space="preserve">2) </w:t>
      </w:r>
      <w:r w:rsidRPr="008F61E2">
        <w:rPr>
          <w:noProof/>
          <w:lang w:val="en-US"/>
        </w:rPr>
        <w:tab/>
        <w:t xml:space="preserve">Hinterdorfer, P.; Baumgartner, W.; Gruber, H. J.; Schilcher, K.; Schindler, H. Detection and Localization of Individual Antibody-Antigen Recognition Events by Atomic Force Microscopy. </w:t>
      </w:r>
      <w:r w:rsidRPr="008F61E2">
        <w:rPr>
          <w:i/>
          <w:iCs/>
          <w:noProof/>
          <w:lang w:val="en-US"/>
        </w:rPr>
        <w:t>Proc. Natl. Acad. Sci.</w:t>
      </w:r>
      <w:r w:rsidRPr="008F61E2">
        <w:rPr>
          <w:noProof/>
          <w:lang w:val="en-US"/>
        </w:rPr>
        <w:t xml:space="preserve"> </w:t>
      </w:r>
      <w:r w:rsidRPr="008F61E2">
        <w:rPr>
          <w:b/>
          <w:bCs/>
          <w:noProof/>
          <w:lang w:val="en-US"/>
        </w:rPr>
        <w:t>1996</w:t>
      </w:r>
      <w:r w:rsidRPr="008F61E2">
        <w:rPr>
          <w:noProof/>
          <w:lang w:val="en-US"/>
        </w:rPr>
        <w:t xml:space="preserve">, </w:t>
      </w:r>
      <w:r w:rsidRPr="008F61E2">
        <w:rPr>
          <w:i/>
          <w:iCs/>
          <w:noProof/>
          <w:lang w:val="en-US"/>
        </w:rPr>
        <w:t>93</w:t>
      </w:r>
      <w:r w:rsidRPr="008F61E2">
        <w:rPr>
          <w:noProof/>
          <w:lang w:val="en-US"/>
        </w:rPr>
        <w:t>, 3477–3481.</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2</w:t>
      </w:r>
      <w:r w:rsidRPr="008F61E2">
        <w:rPr>
          <w:noProof/>
          <w:lang w:val="en-US"/>
        </w:rPr>
        <w:t xml:space="preserve">3) </w:t>
      </w:r>
      <w:r w:rsidRPr="008F61E2">
        <w:rPr>
          <w:noProof/>
          <w:lang w:val="en-US"/>
        </w:rPr>
        <w:tab/>
        <w:t xml:space="preserve">Brogan, K. L.; Schoenfisch, M. H. Influence of Antibody Immobilization Strategy on Molecular Recognition Force Microscopy Measurements. </w:t>
      </w:r>
      <w:r w:rsidRPr="008F61E2">
        <w:rPr>
          <w:i/>
          <w:iCs/>
          <w:noProof/>
          <w:lang w:val="en-US"/>
        </w:rPr>
        <w:t>Langmuir</w:t>
      </w:r>
      <w:r w:rsidRPr="008F61E2">
        <w:rPr>
          <w:noProof/>
          <w:lang w:val="en-US"/>
        </w:rPr>
        <w:t xml:space="preserve"> </w:t>
      </w:r>
      <w:r w:rsidRPr="008F61E2">
        <w:rPr>
          <w:b/>
          <w:bCs/>
          <w:noProof/>
          <w:lang w:val="en-US"/>
        </w:rPr>
        <w:t>2005</w:t>
      </w:r>
      <w:r w:rsidRPr="008F61E2">
        <w:rPr>
          <w:noProof/>
          <w:lang w:val="en-US"/>
        </w:rPr>
        <w:t xml:space="preserve">, </w:t>
      </w:r>
      <w:r w:rsidRPr="008F61E2">
        <w:rPr>
          <w:i/>
          <w:iCs/>
          <w:noProof/>
          <w:lang w:val="en-US"/>
        </w:rPr>
        <w:t>21</w:t>
      </w:r>
      <w:r w:rsidRPr="008F61E2">
        <w:rPr>
          <w:noProof/>
          <w:lang w:val="en-US"/>
        </w:rPr>
        <w:t>, 3054–3060.</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2</w:t>
      </w:r>
      <w:r w:rsidRPr="008F61E2">
        <w:rPr>
          <w:noProof/>
          <w:lang w:val="en-US"/>
        </w:rPr>
        <w:t xml:space="preserve">4) </w:t>
      </w:r>
      <w:r w:rsidRPr="008F61E2">
        <w:rPr>
          <w:noProof/>
          <w:lang w:val="en-US"/>
        </w:rPr>
        <w:tab/>
        <w:t xml:space="preserve">Carrion-Vazquez, M.; Oberhauser, A. F.; Fowler, S. B.; Marszalek, P. E.; Broedel, S. E.; Clarke, J.; Fernandez, J. M. Mechanical and Chemical Unfolding of a Single Protein: A Comparison. </w:t>
      </w:r>
      <w:r w:rsidRPr="008F61E2">
        <w:rPr>
          <w:i/>
          <w:iCs/>
          <w:noProof/>
          <w:lang w:val="en-US"/>
        </w:rPr>
        <w:t>Proc. Natl. Acad. Sci.</w:t>
      </w:r>
      <w:r w:rsidRPr="008F61E2">
        <w:rPr>
          <w:noProof/>
          <w:lang w:val="en-US"/>
        </w:rPr>
        <w:t xml:space="preserve"> </w:t>
      </w:r>
      <w:r w:rsidRPr="008F61E2">
        <w:rPr>
          <w:b/>
          <w:bCs/>
          <w:noProof/>
          <w:lang w:val="en-US"/>
        </w:rPr>
        <w:t>1999</w:t>
      </w:r>
      <w:r w:rsidRPr="008F61E2">
        <w:rPr>
          <w:noProof/>
          <w:lang w:val="en-US"/>
        </w:rPr>
        <w:t xml:space="preserve">, </w:t>
      </w:r>
      <w:r w:rsidRPr="008F61E2">
        <w:rPr>
          <w:i/>
          <w:iCs/>
          <w:noProof/>
          <w:lang w:val="en-US"/>
        </w:rPr>
        <w:t>96</w:t>
      </w:r>
      <w:r w:rsidRPr="008F61E2">
        <w:rPr>
          <w:noProof/>
          <w:lang w:val="en-US"/>
        </w:rPr>
        <w:t>, 3694–3699.</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2</w:t>
      </w:r>
      <w:r w:rsidRPr="008F61E2">
        <w:rPr>
          <w:noProof/>
          <w:lang w:val="en-US"/>
        </w:rPr>
        <w:t xml:space="preserve">5) </w:t>
      </w:r>
      <w:r w:rsidRPr="008F61E2">
        <w:rPr>
          <w:noProof/>
          <w:lang w:val="en-US"/>
        </w:rPr>
        <w:tab/>
        <w:t xml:space="preserve">Rief, M.; Gautel, M.; Oesterhelt, F.; Fernandez, J. M.; Gaub, H. E. Reversible Unfolding of Individual Titin Immunoglobulin Domains by AFM. </w:t>
      </w:r>
      <w:r w:rsidRPr="008F61E2">
        <w:rPr>
          <w:i/>
          <w:iCs/>
          <w:noProof/>
          <w:lang w:val="en-US"/>
        </w:rPr>
        <w:t>Science (80-. ).</w:t>
      </w:r>
      <w:r w:rsidRPr="008F61E2">
        <w:rPr>
          <w:noProof/>
          <w:lang w:val="en-US"/>
        </w:rPr>
        <w:t xml:space="preserve"> </w:t>
      </w:r>
      <w:r w:rsidRPr="008F61E2">
        <w:rPr>
          <w:b/>
          <w:bCs/>
          <w:noProof/>
          <w:lang w:val="en-US"/>
        </w:rPr>
        <w:t>1997</w:t>
      </w:r>
      <w:r w:rsidRPr="008F61E2">
        <w:rPr>
          <w:noProof/>
          <w:lang w:val="en-US"/>
        </w:rPr>
        <w:t xml:space="preserve">, </w:t>
      </w:r>
      <w:r w:rsidRPr="008F61E2">
        <w:rPr>
          <w:i/>
          <w:iCs/>
          <w:noProof/>
          <w:lang w:val="en-US"/>
        </w:rPr>
        <w:t>276</w:t>
      </w:r>
      <w:r w:rsidRPr="008F61E2">
        <w:rPr>
          <w:noProof/>
          <w:lang w:val="en-US"/>
        </w:rPr>
        <w:t>, 1109–1112.</w:t>
      </w:r>
    </w:p>
    <w:p w:rsidR="00581120" w:rsidRPr="008F61E2" w:rsidRDefault="00581120" w:rsidP="00581120">
      <w:pPr>
        <w:pStyle w:val="NormalWeb"/>
        <w:ind w:left="640" w:hanging="640"/>
        <w:divId w:val="2086679128"/>
        <w:rPr>
          <w:noProof/>
          <w:lang w:val="en-US"/>
        </w:rPr>
      </w:pPr>
      <w:r w:rsidRPr="008F61E2">
        <w:rPr>
          <w:noProof/>
          <w:lang w:val="en-US"/>
        </w:rPr>
        <w:t>(</w:t>
      </w:r>
      <w:r>
        <w:rPr>
          <w:noProof/>
          <w:lang w:val="en-US"/>
        </w:rPr>
        <w:t>2</w:t>
      </w:r>
      <w:r w:rsidRPr="008F61E2">
        <w:rPr>
          <w:noProof/>
          <w:lang w:val="en-US"/>
        </w:rPr>
        <w:t xml:space="preserve">6) </w:t>
      </w:r>
      <w:r w:rsidRPr="008F61E2">
        <w:rPr>
          <w:noProof/>
          <w:lang w:val="en-US"/>
        </w:rPr>
        <w:tab/>
        <w:t xml:space="preserve">Tromas, C.; Rojo, J.; de la Fuente, J. M.; Barrientos, A. G.; García, R.; Penadés, S. Adhesion Forces between LewisX Determinant Antigens as Measured by Atomic Force Microscopy. </w:t>
      </w:r>
      <w:r w:rsidRPr="008F61E2">
        <w:rPr>
          <w:i/>
          <w:iCs/>
          <w:noProof/>
          <w:lang w:val="en-US"/>
        </w:rPr>
        <w:t>Angew. Chemie Int. Ed.</w:t>
      </w:r>
      <w:r w:rsidRPr="008F61E2">
        <w:rPr>
          <w:noProof/>
          <w:lang w:val="en-US"/>
        </w:rPr>
        <w:t xml:space="preserve"> </w:t>
      </w:r>
      <w:r w:rsidRPr="008F61E2">
        <w:rPr>
          <w:b/>
          <w:bCs/>
          <w:noProof/>
          <w:lang w:val="en-US"/>
        </w:rPr>
        <w:t>2001</w:t>
      </w:r>
      <w:r w:rsidRPr="008F61E2">
        <w:rPr>
          <w:noProof/>
          <w:lang w:val="en-US"/>
        </w:rPr>
        <w:t xml:space="preserve">, </w:t>
      </w:r>
      <w:r w:rsidRPr="008F61E2">
        <w:rPr>
          <w:i/>
          <w:iCs/>
          <w:noProof/>
          <w:lang w:val="en-US"/>
        </w:rPr>
        <w:t>40</w:t>
      </w:r>
      <w:r w:rsidRPr="008F61E2">
        <w:rPr>
          <w:noProof/>
          <w:lang w:val="en-US"/>
        </w:rPr>
        <w:t>, 3052–3055.</w:t>
      </w:r>
    </w:p>
    <w:p w:rsidR="00581120" w:rsidRPr="008F61E2" w:rsidRDefault="00581120" w:rsidP="00581120">
      <w:pPr>
        <w:pStyle w:val="NormalWeb"/>
        <w:ind w:left="640" w:hanging="640"/>
        <w:divId w:val="2086679128"/>
        <w:rPr>
          <w:noProof/>
          <w:lang w:val="en-US"/>
        </w:rPr>
      </w:pPr>
      <w:r w:rsidRPr="008F61E2">
        <w:rPr>
          <w:noProof/>
          <w:lang w:val="en-US"/>
        </w:rPr>
        <w:lastRenderedPageBreak/>
        <w:t>(</w:t>
      </w:r>
      <w:r>
        <w:rPr>
          <w:noProof/>
          <w:lang w:val="en-US"/>
        </w:rPr>
        <w:t>2</w:t>
      </w:r>
      <w:r w:rsidRPr="008F61E2">
        <w:rPr>
          <w:noProof/>
          <w:lang w:val="en-US"/>
        </w:rPr>
        <w:t xml:space="preserve">7) </w:t>
      </w:r>
      <w:r w:rsidRPr="008F61E2">
        <w:rPr>
          <w:noProof/>
          <w:lang w:val="en-US"/>
        </w:rPr>
        <w:tab/>
        <w:t xml:space="preserve">Müller, D. J.; Dufrêne, Y. F. Force Nanoscopy of Living Cells. </w:t>
      </w:r>
      <w:r w:rsidRPr="008F61E2">
        <w:rPr>
          <w:i/>
          <w:iCs/>
          <w:noProof/>
          <w:lang w:val="en-US"/>
        </w:rPr>
        <w:t>Curr. Biol.</w:t>
      </w:r>
      <w:r w:rsidRPr="008F61E2">
        <w:rPr>
          <w:noProof/>
          <w:lang w:val="en-US"/>
        </w:rPr>
        <w:t xml:space="preserve"> </w:t>
      </w:r>
      <w:r w:rsidRPr="008F61E2">
        <w:rPr>
          <w:b/>
          <w:bCs/>
          <w:noProof/>
          <w:lang w:val="en-US"/>
        </w:rPr>
        <w:t>2011</w:t>
      </w:r>
      <w:r w:rsidRPr="008F61E2">
        <w:rPr>
          <w:noProof/>
          <w:lang w:val="en-US"/>
        </w:rPr>
        <w:t xml:space="preserve">, </w:t>
      </w:r>
      <w:r w:rsidRPr="008F61E2">
        <w:rPr>
          <w:i/>
          <w:iCs/>
          <w:noProof/>
          <w:lang w:val="en-US"/>
        </w:rPr>
        <w:t>21</w:t>
      </w:r>
      <w:r w:rsidRPr="008F61E2">
        <w:rPr>
          <w:noProof/>
          <w:lang w:val="en-US"/>
        </w:rPr>
        <w:t>, R212–R216.</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28</w:t>
      </w:r>
      <w:r w:rsidRPr="008F61E2">
        <w:rPr>
          <w:noProof/>
          <w:lang w:val="en-US"/>
        </w:rPr>
        <w:t xml:space="preserve">) </w:t>
      </w:r>
      <w:r w:rsidRPr="008F61E2">
        <w:rPr>
          <w:noProof/>
          <w:lang w:val="en-US"/>
        </w:rPr>
        <w:tab/>
        <w:t xml:space="preserve">Campana, A.; Cramer, T.; Simon, D. T.; Berggren, M.; Biscarini, F. Electrocardiographic Recording with Conformable Organic Electrochemical Transistor Fabricated on Resorbable Bioscaffold. </w:t>
      </w:r>
      <w:r w:rsidRPr="008F61E2">
        <w:rPr>
          <w:i/>
          <w:iCs/>
          <w:noProof/>
          <w:lang w:val="en-US"/>
        </w:rPr>
        <w:t>Adv. Mater.</w:t>
      </w:r>
      <w:r w:rsidRPr="008F61E2">
        <w:rPr>
          <w:noProof/>
          <w:lang w:val="en-US"/>
        </w:rPr>
        <w:t xml:space="preserve"> </w:t>
      </w:r>
      <w:r w:rsidRPr="008F61E2">
        <w:rPr>
          <w:b/>
          <w:bCs/>
          <w:noProof/>
          <w:lang w:val="en-US"/>
        </w:rPr>
        <w:t>2014</w:t>
      </w:r>
      <w:r w:rsidRPr="008F61E2">
        <w:rPr>
          <w:noProof/>
          <w:lang w:val="en-US"/>
        </w:rPr>
        <w:t xml:space="preserve">, </w:t>
      </w:r>
      <w:r w:rsidRPr="008F61E2">
        <w:rPr>
          <w:i/>
          <w:iCs/>
          <w:noProof/>
          <w:lang w:val="en-US"/>
        </w:rPr>
        <w:t>26</w:t>
      </w:r>
      <w:r w:rsidRPr="008F61E2">
        <w:rPr>
          <w:noProof/>
          <w:lang w:val="en-US"/>
        </w:rPr>
        <w:t>, 3874–3878.</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29</w:t>
      </w:r>
      <w:r w:rsidRPr="008F61E2">
        <w:rPr>
          <w:noProof/>
          <w:lang w:val="en-US"/>
        </w:rPr>
        <w:t xml:space="preserve">) </w:t>
      </w:r>
      <w:r w:rsidRPr="008F61E2">
        <w:rPr>
          <w:noProof/>
          <w:lang w:val="en-US"/>
        </w:rPr>
        <w:tab/>
        <w:t xml:space="preserve">Cramer, T.; Chelli, B.; Murgia, M.; Barbalinardo, M.; Bystrenova, E.; de Leeuw, D. M.; Biscarini, F. Organic Ultra-Thin Film Transistors with a Liquid Gate for Extracellular Stimulation and Recording of Electric Activity of Stem Cell-Derived Neuronal Networks. </w:t>
      </w:r>
      <w:r w:rsidRPr="008F61E2">
        <w:rPr>
          <w:i/>
          <w:iCs/>
          <w:noProof/>
          <w:lang w:val="en-US"/>
        </w:rPr>
        <w:t>Phys. Chem. Chem. Phys.</w:t>
      </w:r>
      <w:r w:rsidRPr="008F61E2">
        <w:rPr>
          <w:noProof/>
          <w:lang w:val="en-US"/>
        </w:rPr>
        <w:t xml:space="preserve"> </w:t>
      </w:r>
      <w:r w:rsidRPr="008F61E2">
        <w:rPr>
          <w:b/>
          <w:bCs/>
          <w:noProof/>
          <w:lang w:val="en-US"/>
        </w:rPr>
        <w:t>2013</w:t>
      </w:r>
      <w:r w:rsidRPr="008F61E2">
        <w:rPr>
          <w:noProof/>
          <w:lang w:val="en-US"/>
        </w:rPr>
        <w:t xml:space="preserve">, </w:t>
      </w:r>
      <w:r w:rsidRPr="008F61E2">
        <w:rPr>
          <w:i/>
          <w:iCs/>
          <w:noProof/>
          <w:lang w:val="en-US"/>
        </w:rPr>
        <w:t>15</w:t>
      </w:r>
      <w:r w:rsidRPr="008F61E2">
        <w:rPr>
          <w:noProof/>
          <w:lang w:val="en-US"/>
        </w:rPr>
        <w:t>, 3897–3905.</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30</w:t>
      </w:r>
      <w:r w:rsidRPr="008F61E2">
        <w:rPr>
          <w:noProof/>
          <w:lang w:val="en-US"/>
        </w:rPr>
        <w:t xml:space="preserve">) </w:t>
      </w:r>
      <w:r w:rsidRPr="008F61E2">
        <w:rPr>
          <w:noProof/>
          <w:lang w:val="en-US"/>
        </w:rPr>
        <w:tab/>
        <w:t xml:space="preserve">Khodagholy, D.; Doublet, T.; Quilichini, P.; Gurfinkel, M.; Leleux, P.; Ghestem, A.; Ismailova, E.; Hervé, T.; Sanaur, S.; Bernard, C.; </w:t>
      </w:r>
      <w:r w:rsidRPr="008F61E2">
        <w:rPr>
          <w:i/>
          <w:iCs/>
          <w:noProof/>
          <w:lang w:val="en-US"/>
        </w:rPr>
        <w:t>et al.</w:t>
      </w:r>
      <w:r w:rsidRPr="008F61E2">
        <w:rPr>
          <w:noProof/>
          <w:lang w:val="en-US"/>
        </w:rPr>
        <w:t xml:space="preserve"> </w:t>
      </w:r>
      <w:r w:rsidRPr="00E51451">
        <w:rPr>
          <w:i/>
          <w:noProof/>
          <w:lang w:val="en-US"/>
        </w:rPr>
        <w:t>In Vivo</w:t>
      </w:r>
      <w:r w:rsidRPr="008F61E2">
        <w:rPr>
          <w:noProof/>
          <w:lang w:val="en-US"/>
        </w:rPr>
        <w:t xml:space="preserve"> Recordings of Brain Activity Using Organic Transistors. </w:t>
      </w:r>
      <w:r w:rsidRPr="008F61E2">
        <w:rPr>
          <w:i/>
          <w:iCs/>
          <w:noProof/>
          <w:lang w:val="en-US"/>
        </w:rPr>
        <w:t>Nat. Commun.</w:t>
      </w:r>
      <w:r w:rsidRPr="008F61E2">
        <w:rPr>
          <w:noProof/>
          <w:lang w:val="en-US"/>
        </w:rPr>
        <w:t xml:space="preserve"> </w:t>
      </w:r>
      <w:r w:rsidRPr="008F61E2">
        <w:rPr>
          <w:b/>
          <w:bCs/>
          <w:noProof/>
          <w:lang w:val="en-US"/>
        </w:rPr>
        <w:t>2013</w:t>
      </w:r>
      <w:r w:rsidRPr="008F61E2">
        <w:rPr>
          <w:noProof/>
          <w:lang w:val="en-US"/>
        </w:rPr>
        <w:t xml:space="preserve">, </w:t>
      </w:r>
      <w:r w:rsidRPr="008F61E2">
        <w:rPr>
          <w:i/>
          <w:iCs/>
          <w:noProof/>
          <w:lang w:val="en-US"/>
        </w:rPr>
        <w:t>4</w:t>
      </w:r>
      <w:r w:rsidRPr="008F61E2">
        <w:rPr>
          <w:noProof/>
          <w:lang w:val="en-US"/>
        </w:rPr>
        <w:t>, 1–7.</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31</w:t>
      </w:r>
      <w:r w:rsidRPr="008F61E2">
        <w:rPr>
          <w:noProof/>
          <w:lang w:val="en-US"/>
        </w:rPr>
        <w:t xml:space="preserve">) </w:t>
      </w:r>
      <w:r w:rsidRPr="008F61E2">
        <w:rPr>
          <w:noProof/>
          <w:lang w:val="en-US"/>
        </w:rPr>
        <w:tab/>
        <w:t xml:space="preserve">Cramer, T.; Kyndiah, a.; Murgia, M.; Leonardi, F.; Casalini, S.; Biscarini, F. Double Layer Capacitance Measured by Organic Field Effect Transistor Operated in Water. </w:t>
      </w:r>
      <w:r w:rsidRPr="008F61E2">
        <w:rPr>
          <w:i/>
          <w:iCs/>
          <w:noProof/>
          <w:lang w:val="en-US"/>
        </w:rPr>
        <w:t>Appl. Phys. Lett.</w:t>
      </w:r>
      <w:r w:rsidRPr="008F61E2">
        <w:rPr>
          <w:noProof/>
          <w:lang w:val="en-US"/>
        </w:rPr>
        <w:t xml:space="preserve"> </w:t>
      </w:r>
      <w:r w:rsidRPr="008F61E2">
        <w:rPr>
          <w:b/>
          <w:bCs/>
          <w:noProof/>
          <w:lang w:val="en-US"/>
        </w:rPr>
        <w:t>2012</w:t>
      </w:r>
      <w:r w:rsidRPr="008F61E2">
        <w:rPr>
          <w:noProof/>
          <w:lang w:val="en-US"/>
        </w:rPr>
        <w:t xml:space="preserve">, </w:t>
      </w:r>
      <w:r w:rsidRPr="008F61E2">
        <w:rPr>
          <w:i/>
          <w:iCs/>
          <w:noProof/>
          <w:lang w:val="en-US"/>
        </w:rPr>
        <w:t>100</w:t>
      </w:r>
      <w:r w:rsidRPr="008F61E2">
        <w:rPr>
          <w:noProof/>
          <w:lang w:val="en-US"/>
        </w:rPr>
        <w:t>, 143302.</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32</w:t>
      </w:r>
      <w:r w:rsidRPr="008F61E2">
        <w:rPr>
          <w:noProof/>
          <w:lang w:val="en-US"/>
        </w:rPr>
        <w:t xml:space="preserve">) </w:t>
      </w:r>
      <w:r w:rsidRPr="008F61E2">
        <w:rPr>
          <w:noProof/>
          <w:lang w:val="en-US"/>
        </w:rPr>
        <w:tab/>
        <w:t xml:space="preserve">Cramer, T.; Campana, A.; Leonardi, F.; Casalini, S.; Kyndiah, A.; Murgia, M.; Biscarini, F. Water-Gated Organic Field Effect Transistors – Opportunities for Biochemical Sensing and Extracellular Signal Transduction. </w:t>
      </w:r>
      <w:r w:rsidRPr="008F61E2">
        <w:rPr>
          <w:i/>
          <w:iCs/>
          <w:noProof/>
          <w:lang w:val="en-US"/>
        </w:rPr>
        <w:t>J. Mater. Chem. B</w:t>
      </w:r>
      <w:r w:rsidRPr="008F61E2">
        <w:rPr>
          <w:noProof/>
          <w:lang w:val="en-US"/>
        </w:rPr>
        <w:t xml:space="preserve"> </w:t>
      </w:r>
      <w:r w:rsidRPr="008F61E2">
        <w:rPr>
          <w:b/>
          <w:bCs/>
          <w:noProof/>
          <w:lang w:val="en-US"/>
        </w:rPr>
        <w:t>2013</w:t>
      </w:r>
      <w:r w:rsidRPr="008F61E2">
        <w:rPr>
          <w:noProof/>
          <w:lang w:val="en-US"/>
        </w:rPr>
        <w:t xml:space="preserve">, </w:t>
      </w:r>
      <w:r w:rsidRPr="008F61E2">
        <w:rPr>
          <w:i/>
          <w:iCs/>
          <w:noProof/>
          <w:lang w:val="en-US"/>
        </w:rPr>
        <w:t>1</w:t>
      </w:r>
      <w:r w:rsidRPr="008F61E2">
        <w:rPr>
          <w:noProof/>
          <w:lang w:val="en-US"/>
        </w:rPr>
        <w:t>, 3728–3741.</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33</w:t>
      </w:r>
      <w:r w:rsidRPr="008F61E2">
        <w:rPr>
          <w:noProof/>
          <w:lang w:val="en-US"/>
        </w:rPr>
        <w:t xml:space="preserve">) </w:t>
      </w:r>
      <w:r w:rsidRPr="008F61E2">
        <w:rPr>
          <w:noProof/>
          <w:lang w:val="en-US"/>
        </w:rPr>
        <w:tab/>
        <w:t xml:space="preserve">Casalini, S.; Leonardi, F.; Cramer, T.; Biscarini, F. Organic Field-Effect Transistor for Label-Free Dopamine Sensing. </w:t>
      </w:r>
      <w:r w:rsidRPr="008F61E2">
        <w:rPr>
          <w:i/>
          <w:iCs/>
          <w:noProof/>
          <w:lang w:val="en-US"/>
        </w:rPr>
        <w:t>Org. Electron.</w:t>
      </w:r>
      <w:r w:rsidRPr="008F61E2">
        <w:rPr>
          <w:noProof/>
          <w:lang w:val="en-US"/>
        </w:rPr>
        <w:t xml:space="preserve"> </w:t>
      </w:r>
      <w:r w:rsidRPr="008F61E2">
        <w:rPr>
          <w:b/>
          <w:bCs/>
          <w:noProof/>
          <w:lang w:val="en-US"/>
        </w:rPr>
        <w:t>2013</w:t>
      </w:r>
      <w:r w:rsidRPr="008F61E2">
        <w:rPr>
          <w:noProof/>
          <w:lang w:val="en-US"/>
        </w:rPr>
        <w:t xml:space="preserve">, </w:t>
      </w:r>
      <w:r w:rsidRPr="008F61E2">
        <w:rPr>
          <w:i/>
          <w:iCs/>
          <w:noProof/>
          <w:lang w:val="en-US"/>
        </w:rPr>
        <w:t>14</w:t>
      </w:r>
      <w:r w:rsidRPr="008F61E2">
        <w:rPr>
          <w:noProof/>
          <w:lang w:val="en-US"/>
        </w:rPr>
        <w:t>, 156–163.</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34</w:t>
      </w:r>
      <w:r w:rsidRPr="008F61E2">
        <w:rPr>
          <w:noProof/>
          <w:lang w:val="en-US"/>
        </w:rPr>
        <w:t xml:space="preserve">) </w:t>
      </w:r>
      <w:r w:rsidRPr="008F61E2">
        <w:rPr>
          <w:noProof/>
          <w:lang w:val="en-US"/>
        </w:rPr>
        <w:tab/>
        <w:t xml:space="preserve">Kergoat, L.; Piro, B.; Berggren, M.; Pham, M.-C.; Yassar, A.; Horowitz, G. DNA Detection with a Water-Gated Organic Field-Effect Transistor. </w:t>
      </w:r>
      <w:r w:rsidRPr="008F61E2">
        <w:rPr>
          <w:i/>
          <w:iCs/>
          <w:noProof/>
          <w:lang w:val="en-US"/>
        </w:rPr>
        <w:t>Org. Electron.</w:t>
      </w:r>
      <w:r w:rsidRPr="008F61E2">
        <w:rPr>
          <w:noProof/>
          <w:lang w:val="en-US"/>
        </w:rPr>
        <w:t xml:space="preserve"> </w:t>
      </w:r>
      <w:r w:rsidRPr="008F61E2">
        <w:rPr>
          <w:b/>
          <w:bCs/>
          <w:noProof/>
          <w:lang w:val="en-US"/>
        </w:rPr>
        <w:t>2012</w:t>
      </w:r>
      <w:r w:rsidRPr="008F61E2">
        <w:rPr>
          <w:noProof/>
          <w:lang w:val="en-US"/>
        </w:rPr>
        <w:t xml:space="preserve">, </w:t>
      </w:r>
      <w:r w:rsidRPr="008F61E2">
        <w:rPr>
          <w:i/>
          <w:iCs/>
          <w:noProof/>
          <w:lang w:val="en-US"/>
        </w:rPr>
        <w:t>13</w:t>
      </w:r>
      <w:r w:rsidRPr="008F61E2">
        <w:rPr>
          <w:noProof/>
          <w:lang w:val="en-US"/>
        </w:rPr>
        <w:t>, 1–6.</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35</w:t>
      </w:r>
      <w:r w:rsidRPr="008F61E2">
        <w:rPr>
          <w:noProof/>
          <w:lang w:val="en-US"/>
        </w:rPr>
        <w:t xml:space="preserve">) </w:t>
      </w:r>
      <w:r w:rsidRPr="008F61E2">
        <w:rPr>
          <w:noProof/>
          <w:lang w:val="en-US"/>
        </w:rPr>
        <w:tab/>
        <w:t xml:space="preserve">Buth, F.; Kumar, D.; Stutzmann, M.; Garrido, J. a. Electrolyte-Gated Organic Field-Effect Transistors for Sensing Applications. </w:t>
      </w:r>
      <w:r w:rsidRPr="008F61E2">
        <w:rPr>
          <w:i/>
          <w:iCs/>
          <w:noProof/>
          <w:lang w:val="en-US"/>
        </w:rPr>
        <w:t>Appl. Phys. Lett.</w:t>
      </w:r>
      <w:r w:rsidRPr="008F61E2">
        <w:rPr>
          <w:noProof/>
          <w:lang w:val="en-US"/>
        </w:rPr>
        <w:t xml:space="preserve"> </w:t>
      </w:r>
      <w:r w:rsidRPr="008F61E2">
        <w:rPr>
          <w:b/>
          <w:bCs/>
          <w:noProof/>
          <w:lang w:val="en-US"/>
        </w:rPr>
        <w:t>2011</w:t>
      </w:r>
      <w:r w:rsidRPr="008F61E2">
        <w:rPr>
          <w:noProof/>
          <w:lang w:val="en-US"/>
        </w:rPr>
        <w:t xml:space="preserve">, </w:t>
      </w:r>
      <w:r w:rsidRPr="008F61E2">
        <w:rPr>
          <w:i/>
          <w:iCs/>
          <w:noProof/>
          <w:lang w:val="en-US"/>
        </w:rPr>
        <w:t>98</w:t>
      </w:r>
      <w:r w:rsidRPr="008F61E2">
        <w:rPr>
          <w:noProof/>
          <w:lang w:val="en-US"/>
        </w:rPr>
        <w:t>, 153302.</w:t>
      </w:r>
    </w:p>
    <w:p w:rsidR="00227A92" w:rsidRPr="008F61E2" w:rsidRDefault="00227A92">
      <w:pPr>
        <w:pStyle w:val="NormalWeb"/>
        <w:ind w:left="640" w:hanging="640"/>
        <w:divId w:val="2086679128"/>
        <w:rPr>
          <w:noProof/>
          <w:lang w:val="en-US"/>
        </w:rPr>
      </w:pPr>
      <w:r w:rsidRPr="008F61E2">
        <w:rPr>
          <w:noProof/>
          <w:lang w:val="en-US"/>
        </w:rPr>
        <w:t>(</w:t>
      </w:r>
      <w:r w:rsidR="00581120">
        <w:rPr>
          <w:noProof/>
          <w:lang w:val="en-US"/>
        </w:rPr>
        <w:t>36</w:t>
      </w:r>
      <w:r w:rsidRPr="008F61E2">
        <w:rPr>
          <w:noProof/>
          <w:lang w:val="en-US"/>
        </w:rPr>
        <w:t xml:space="preserve">) </w:t>
      </w:r>
      <w:r w:rsidRPr="008F61E2">
        <w:rPr>
          <w:noProof/>
          <w:lang w:val="en-US"/>
        </w:rPr>
        <w:tab/>
        <w:t xml:space="preserve">Buth, F.; Donner, A.; Sachsenhauser, M.; Stutzmann, M.; Garrido, J. a. Biofunctional Electrolyte-Gated Organic Field-Effect Transistors. </w:t>
      </w:r>
      <w:r w:rsidRPr="008F61E2">
        <w:rPr>
          <w:i/>
          <w:iCs/>
          <w:noProof/>
          <w:lang w:val="en-US"/>
        </w:rPr>
        <w:t>Adv. Mater.</w:t>
      </w:r>
      <w:r w:rsidRPr="008F61E2">
        <w:rPr>
          <w:noProof/>
          <w:lang w:val="en-US"/>
        </w:rPr>
        <w:t xml:space="preserve"> </w:t>
      </w:r>
      <w:r w:rsidRPr="008F61E2">
        <w:rPr>
          <w:b/>
          <w:bCs/>
          <w:noProof/>
          <w:lang w:val="en-US"/>
        </w:rPr>
        <w:t>2012</w:t>
      </w:r>
      <w:r w:rsidRPr="008F61E2">
        <w:rPr>
          <w:noProof/>
          <w:lang w:val="en-US"/>
        </w:rPr>
        <w:t xml:space="preserve">, </w:t>
      </w:r>
      <w:r w:rsidRPr="008F61E2">
        <w:rPr>
          <w:i/>
          <w:iCs/>
          <w:noProof/>
          <w:lang w:val="en-US"/>
        </w:rPr>
        <w:t>24</w:t>
      </w:r>
      <w:r w:rsidRPr="008F61E2">
        <w:rPr>
          <w:noProof/>
          <w:lang w:val="en-US"/>
        </w:rPr>
        <w:t>, 4511–4517.</w:t>
      </w:r>
    </w:p>
    <w:p w:rsidR="00227A92" w:rsidRPr="008F61E2" w:rsidRDefault="00227A92" w:rsidP="00581120">
      <w:pPr>
        <w:pStyle w:val="NormalWeb"/>
        <w:ind w:left="640" w:hanging="640"/>
        <w:divId w:val="2086679128"/>
        <w:rPr>
          <w:noProof/>
          <w:lang w:val="en-US"/>
        </w:rPr>
      </w:pPr>
      <w:r w:rsidRPr="008F61E2">
        <w:rPr>
          <w:noProof/>
          <w:lang w:val="en-US"/>
        </w:rPr>
        <w:t>(</w:t>
      </w:r>
      <w:r w:rsidR="00581120">
        <w:rPr>
          <w:noProof/>
          <w:lang w:val="en-US"/>
        </w:rPr>
        <w:t>37</w:t>
      </w:r>
      <w:r w:rsidRPr="008F61E2">
        <w:rPr>
          <w:noProof/>
          <w:lang w:val="en-US"/>
        </w:rPr>
        <w:t xml:space="preserve">) </w:t>
      </w:r>
      <w:r w:rsidRPr="008F61E2">
        <w:rPr>
          <w:noProof/>
          <w:lang w:val="en-US"/>
        </w:rPr>
        <w:tab/>
        <w:t xml:space="preserve">Magliulo, M.; Mallardi, A.; Mulla, M. Y.; Cotrone, S.; Pistillo, B. R.; Favia, P.; Vikholm-Lundin, I.; Palazzo, G.; Torsi, L. Electrolyte-Gated Organic Field-Effect Transistor Sensors Based on Supported Biotinylated Phospholipid Bilayer. </w:t>
      </w:r>
      <w:r w:rsidRPr="008F61E2">
        <w:rPr>
          <w:i/>
          <w:iCs/>
          <w:noProof/>
          <w:lang w:val="en-US"/>
        </w:rPr>
        <w:t>Adv. Mater.</w:t>
      </w:r>
      <w:r w:rsidRPr="008F61E2">
        <w:rPr>
          <w:noProof/>
          <w:lang w:val="en-US"/>
        </w:rPr>
        <w:t xml:space="preserve"> </w:t>
      </w:r>
      <w:r w:rsidRPr="008F61E2">
        <w:rPr>
          <w:b/>
          <w:bCs/>
          <w:noProof/>
          <w:lang w:val="en-US"/>
        </w:rPr>
        <w:t>2012</w:t>
      </w:r>
      <w:r w:rsidRPr="008F61E2">
        <w:rPr>
          <w:noProof/>
          <w:lang w:val="en-US"/>
        </w:rPr>
        <w:t xml:space="preserve">, </w:t>
      </w:r>
      <w:r w:rsidR="00BA3BC3">
        <w:rPr>
          <w:noProof/>
          <w:lang w:val="en-US"/>
        </w:rPr>
        <w:t>25, 2090–2094</w:t>
      </w:r>
      <w:r w:rsidRPr="008F61E2">
        <w:rPr>
          <w:noProof/>
          <w:lang w:val="en-US"/>
        </w:rPr>
        <w:t>.</w:t>
      </w:r>
    </w:p>
    <w:p w:rsidR="00227A92" w:rsidRPr="008F61E2" w:rsidRDefault="00227A92">
      <w:pPr>
        <w:pStyle w:val="NormalWeb"/>
        <w:ind w:left="640" w:hanging="640"/>
        <w:divId w:val="2086679128"/>
        <w:rPr>
          <w:noProof/>
          <w:lang w:val="en-US"/>
        </w:rPr>
      </w:pPr>
      <w:r w:rsidRPr="008F61E2">
        <w:rPr>
          <w:noProof/>
          <w:lang w:val="en-US"/>
        </w:rPr>
        <w:t xml:space="preserve">(38) </w:t>
      </w:r>
      <w:r w:rsidRPr="008F61E2">
        <w:rPr>
          <w:noProof/>
          <w:lang w:val="en-US"/>
        </w:rPr>
        <w:tab/>
        <w:t xml:space="preserve">Ledeboer, A.; Brevé, J. J. P.; Poole, S.; Tilders, F. J. H.; Dam, A. V. A. N. Interleukin-10, Interleukin-4 and Transforming Growth Factor-Beta Differentially Regulate Lipopolysaccharide-Induced Production of pro-Inflammatory Cytokines and Nitric Oxide in Co-Cultures of Rat Astroglial and Microglial Cells. </w:t>
      </w:r>
      <w:r w:rsidRPr="008F61E2">
        <w:rPr>
          <w:i/>
          <w:iCs/>
          <w:noProof/>
          <w:lang w:val="en-US"/>
        </w:rPr>
        <w:t>Glia</w:t>
      </w:r>
      <w:r w:rsidRPr="008F61E2">
        <w:rPr>
          <w:noProof/>
          <w:lang w:val="en-US"/>
        </w:rPr>
        <w:t xml:space="preserve"> </w:t>
      </w:r>
      <w:r w:rsidRPr="008F61E2">
        <w:rPr>
          <w:b/>
          <w:bCs/>
          <w:noProof/>
          <w:lang w:val="en-US"/>
        </w:rPr>
        <w:t>2000</w:t>
      </w:r>
      <w:r w:rsidRPr="008F61E2">
        <w:rPr>
          <w:noProof/>
          <w:lang w:val="en-US"/>
        </w:rPr>
        <w:t xml:space="preserve">, </w:t>
      </w:r>
      <w:r w:rsidRPr="008F61E2">
        <w:rPr>
          <w:i/>
          <w:iCs/>
          <w:noProof/>
          <w:lang w:val="en-US"/>
        </w:rPr>
        <w:t>30</w:t>
      </w:r>
      <w:r w:rsidRPr="008F61E2">
        <w:rPr>
          <w:noProof/>
          <w:lang w:val="en-US"/>
        </w:rPr>
        <w:t>, 134–142.</w:t>
      </w:r>
    </w:p>
    <w:p w:rsidR="00227A92" w:rsidRPr="008F61E2" w:rsidRDefault="00227A92">
      <w:pPr>
        <w:pStyle w:val="NormalWeb"/>
        <w:ind w:left="640" w:hanging="640"/>
        <w:divId w:val="2086679128"/>
        <w:rPr>
          <w:noProof/>
          <w:lang w:val="en-US"/>
        </w:rPr>
      </w:pPr>
      <w:r w:rsidRPr="008F61E2">
        <w:rPr>
          <w:noProof/>
          <w:lang w:val="en-US"/>
        </w:rPr>
        <w:lastRenderedPageBreak/>
        <w:t xml:space="preserve">(39) </w:t>
      </w:r>
      <w:r w:rsidRPr="008F61E2">
        <w:rPr>
          <w:noProof/>
          <w:lang w:val="en-US"/>
        </w:rPr>
        <w:tab/>
        <w:t xml:space="preserve">Wirjatijasa, F.; Dehghani, F.; Blaheta, R. a; Korf, H.-W.; Hailer, N. P. Interleukin-4, Interleukin-10, and Interleukin-1-Receptor Antagonist but Not Transforming Growth Factor-Beta Induce Ramification and Reduce Adhesion Molecule Expression of Rat Microglial Cells. </w:t>
      </w:r>
      <w:r w:rsidRPr="008F61E2">
        <w:rPr>
          <w:i/>
          <w:iCs/>
          <w:noProof/>
          <w:lang w:val="en-US"/>
        </w:rPr>
        <w:t>J. Neurosci. Res.</w:t>
      </w:r>
      <w:r w:rsidRPr="008F61E2">
        <w:rPr>
          <w:noProof/>
          <w:lang w:val="en-US"/>
        </w:rPr>
        <w:t xml:space="preserve"> </w:t>
      </w:r>
      <w:r w:rsidRPr="008F61E2">
        <w:rPr>
          <w:b/>
          <w:bCs/>
          <w:noProof/>
          <w:lang w:val="en-US"/>
        </w:rPr>
        <w:t>2002</w:t>
      </w:r>
      <w:r w:rsidRPr="008F61E2">
        <w:rPr>
          <w:noProof/>
          <w:lang w:val="en-US"/>
        </w:rPr>
        <w:t xml:space="preserve">, </w:t>
      </w:r>
      <w:r w:rsidRPr="008F61E2">
        <w:rPr>
          <w:i/>
          <w:iCs/>
          <w:noProof/>
          <w:lang w:val="en-US"/>
        </w:rPr>
        <w:t>68</w:t>
      </w:r>
      <w:r w:rsidRPr="008F61E2">
        <w:rPr>
          <w:noProof/>
          <w:lang w:val="en-US"/>
        </w:rPr>
        <w:t>, 579–587.</w:t>
      </w:r>
    </w:p>
    <w:p w:rsidR="00227A92" w:rsidRPr="008F61E2" w:rsidRDefault="00227A92">
      <w:pPr>
        <w:pStyle w:val="NormalWeb"/>
        <w:ind w:left="640" w:hanging="640"/>
        <w:divId w:val="2086679128"/>
        <w:rPr>
          <w:noProof/>
          <w:lang w:val="en-US"/>
        </w:rPr>
      </w:pPr>
      <w:r w:rsidRPr="008F61E2">
        <w:rPr>
          <w:noProof/>
          <w:lang w:val="en-US"/>
        </w:rPr>
        <w:t xml:space="preserve">(40) </w:t>
      </w:r>
      <w:r w:rsidRPr="008F61E2">
        <w:rPr>
          <w:noProof/>
          <w:lang w:val="en-US"/>
        </w:rPr>
        <w:tab/>
        <w:t xml:space="preserve">Yang, M.-S.; Park, E. J.; Sohn, S.; Kwon, H. J.; Shin, W.-H.; Pyo, H. K.; Jin, B.; Choi, K. S.; Jou, I.; Joe, E.-H. Interleukin-13 and -4 Induce Death of Activated Microglia. </w:t>
      </w:r>
      <w:r w:rsidRPr="008F61E2">
        <w:rPr>
          <w:i/>
          <w:iCs/>
          <w:noProof/>
          <w:lang w:val="en-US"/>
        </w:rPr>
        <w:t>Glia</w:t>
      </w:r>
      <w:r w:rsidRPr="008F61E2">
        <w:rPr>
          <w:noProof/>
          <w:lang w:val="en-US"/>
        </w:rPr>
        <w:t xml:space="preserve"> </w:t>
      </w:r>
      <w:r w:rsidRPr="008F61E2">
        <w:rPr>
          <w:b/>
          <w:bCs/>
          <w:noProof/>
          <w:lang w:val="en-US"/>
        </w:rPr>
        <w:t>2002</w:t>
      </w:r>
      <w:r w:rsidRPr="008F61E2">
        <w:rPr>
          <w:noProof/>
          <w:lang w:val="en-US"/>
        </w:rPr>
        <w:t xml:space="preserve">, </w:t>
      </w:r>
      <w:r w:rsidRPr="008F61E2">
        <w:rPr>
          <w:i/>
          <w:iCs/>
          <w:noProof/>
          <w:lang w:val="en-US"/>
        </w:rPr>
        <w:t>38</w:t>
      </w:r>
      <w:r w:rsidRPr="008F61E2">
        <w:rPr>
          <w:noProof/>
          <w:lang w:val="en-US"/>
        </w:rPr>
        <w:t>, 273–280.</w:t>
      </w:r>
    </w:p>
    <w:p w:rsidR="00227A92" w:rsidRPr="008F61E2" w:rsidRDefault="00227A92">
      <w:pPr>
        <w:pStyle w:val="NormalWeb"/>
        <w:ind w:left="640" w:hanging="640"/>
        <w:divId w:val="2086679128"/>
        <w:rPr>
          <w:noProof/>
          <w:lang w:val="en-US"/>
        </w:rPr>
      </w:pPr>
      <w:r w:rsidRPr="008F61E2">
        <w:rPr>
          <w:noProof/>
          <w:lang w:val="en-US"/>
        </w:rPr>
        <w:t xml:space="preserve">(41) </w:t>
      </w:r>
      <w:r w:rsidRPr="008F61E2">
        <w:rPr>
          <w:noProof/>
          <w:lang w:val="en-US"/>
        </w:rPr>
        <w:tab/>
        <w:t xml:space="preserve">Lee, S. I.; Jeong, S. R.; Kang, Y. M.; Han, D. H.; Jin, B. K.; Namgung, U.; Kim, B. G. Endogenous Expression of Interleukin-4 Regulates Macrophage Activation and Confines Cavity Formation after Traumatic Spinal Cord Injury. </w:t>
      </w:r>
      <w:r w:rsidRPr="008F61E2">
        <w:rPr>
          <w:i/>
          <w:iCs/>
          <w:noProof/>
          <w:lang w:val="en-US"/>
        </w:rPr>
        <w:t>J. Neurosci. Res.</w:t>
      </w:r>
      <w:r w:rsidRPr="008F61E2">
        <w:rPr>
          <w:noProof/>
          <w:lang w:val="en-US"/>
        </w:rPr>
        <w:t xml:space="preserve"> </w:t>
      </w:r>
      <w:r w:rsidRPr="008F61E2">
        <w:rPr>
          <w:b/>
          <w:bCs/>
          <w:noProof/>
          <w:lang w:val="en-US"/>
        </w:rPr>
        <w:t>2010</w:t>
      </w:r>
      <w:r w:rsidRPr="008F61E2">
        <w:rPr>
          <w:noProof/>
          <w:lang w:val="en-US"/>
        </w:rPr>
        <w:t xml:space="preserve">, </w:t>
      </w:r>
      <w:r w:rsidRPr="008F61E2">
        <w:rPr>
          <w:i/>
          <w:iCs/>
          <w:noProof/>
          <w:lang w:val="en-US"/>
        </w:rPr>
        <w:t>88</w:t>
      </w:r>
      <w:r w:rsidRPr="008F61E2">
        <w:rPr>
          <w:noProof/>
          <w:lang w:val="en-US"/>
        </w:rPr>
        <w:t>, 2409–2419.</w:t>
      </w:r>
    </w:p>
    <w:p w:rsidR="00227A92" w:rsidRPr="008F61E2" w:rsidRDefault="00227A92">
      <w:pPr>
        <w:pStyle w:val="NormalWeb"/>
        <w:ind w:left="640" w:hanging="640"/>
        <w:divId w:val="2086679128"/>
        <w:rPr>
          <w:noProof/>
          <w:lang w:val="en-US"/>
        </w:rPr>
      </w:pPr>
      <w:r w:rsidRPr="008F61E2">
        <w:rPr>
          <w:noProof/>
          <w:lang w:val="en-US"/>
        </w:rPr>
        <w:t xml:space="preserve">(42) </w:t>
      </w:r>
      <w:r w:rsidRPr="008F61E2">
        <w:rPr>
          <w:noProof/>
          <w:lang w:val="en-US"/>
        </w:rPr>
        <w:tab/>
        <w:t xml:space="preserve">Betancor, L.; López-Gallego, F.; Hidalgo, A.; Alonso-Morales, N.; Mateo, G. D.-O. C.; Fernández-Lafuente, R.; Guisán, J. M. Different Mechanisms of Protein Immobilization on Glutaraldehyde Activated Supports: Effect of Support Activation and Immobilization Conditions. </w:t>
      </w:r>
      <w:r w:rsidRPr="008F61E2">
        <w:rPr>
          <w:i/>
          <w:iCs/>
          <w:noProof/>
          <w:lang w:val="en-US"/>
        </w:rPr>
        <w:t>Enzyme Microb. Technol.</w:t>
      </w:r>
      <w:r w:rsidRPr="008F61E2">
        <w:rPr>
          <w:noProof/>
          <w:lang w:val="en-US"/>
        </w:rPr>
        <w:t xml:space="preserve"> </w:t>
      </w:r>
      <w:r w:rsidRPr="008F61E2">
        <w:rPr>
          <w:b/>
          <w:bCs/>
          <w:noProof/>
          <w:lang w:val="en-US"/>
        </w:rPr>
        <w:t>2006</w:t>
      </w:r>
      <w:r w:rsidRPr="008F61E2">
        <w:rPr>
          <w:noProof/>
          <w:lang w:val="en-US"/>
        </w:rPr>
        <w:t xml:space="preserve">, </w:t>
      </w:r>
      <w:r w:rsidRPr="008F61E2">
        <w:rPr>
          <w:i/>
          <w:iCs/>
          <w:noProof/>
          <w:lang w:val="en-US"/>
        </w:rPr>
        <w:t>39</w:t>
      </w:r>
      <w:r w:rsidRPr="008F61E2">
        <w:rPr>
          <w:noProof/>
          <w:lang w:val="en-US"/>
        </w:rPr>
        <w:t>, 877–882.</w:t>
      </w:r>
    </w:p>
    <w:p w:rsidR="00227A92" w:rsidRPr="008F61E2" w:rsidRDefault="00227A92">
      <w:pPr>
        <w:pStyle w:val="NormalWeb"/>
        <w:ind w:left="640" w:hanging="640"/>
        <w:divId w:val="2086679128"/>
        <w:rPr>
          <w:noProof/>
          <w:lang w:val="en-US"/>
        </w:rPr>
      </w:pPr>
      <w:r w:rsidRPr="008F61E2">
        <w:rPr>
          <w:noProof/>
          <w:lang w:val="en-US"/>
        </w:rPr>
        <w:t xml:space="preserve">(43) </w:t>
      </w:r>
      <w:r w:rsidRPr="008F61E2">
        <w:rPr>
          <w:noProof/>
          <w:lang w:val="en-US"/>
        </w:rPr>
        <w:tab/>
        <w:t xml:space="preserve">Walt, D. R.; Agayn, V. I. The Chemistry of Enzyme and Protein Immobilization with Glutaraldehyde. </w:t>
      </w:r>
      <w:r w:rsidRPr="008F61E2">
        <w:rPr>
          <w:i/>
          <w:iCs/>
          <w:noProof/>
          <w:lang w:val="en-US"/>
        </w:rPr>
        <w:t>Trends Anal. Chem.</w:t>
      </w:r>
      <w:r w:rsidRPr="008F61E2">
        <w:rPr>
          <w:noProof/>
          <w:lang w:val="en-US"/>
        </w:rPr>
        <w:t xml:space="preserve"> </w:t>
      </w:r>
      <w:r w:rsidRPr="008F61E2">
        <w:rPr>
          <w:b/>
          <w:bCs/>
          <w:noProof/>
          <w:lang w:val="en-US"/>
        </w:rPr>
        <w:t>1994</w:t>
      </w:r>
      <w:r w:rsidRPr="008F61E2">
        <w:rPr>
          <w:noProof/>
          <w:lang w:val="en-US"/>
        </w:rPr>
        <w:t xml:space="preserve">, </w:t>
      </w:r>
      <w:r w:rsidRPr="008F61E2">
        <w:rPr>
          <w:i/>
          <w:iCs/>
          <w:noProof/>
          <w:lang w:val="en-US"/>
        </w:rPr>
        <w:t>13</w:t>
      </w:r>
      <w:r w:rsidRPr="008F61E2">
        <w:rPr>
          <w:noProof/>
          <w:lang w:val="en-US"/>
        </w:rPr>
        <w:t>, 425–430.</w:t>
      </w:r>
    </w:p>
    <w:p w:rsidR="00227A92" w:rsidRPr="008F61E2" w:rsidRDefault="00227A92">
      <w:pPr>
        <w:pStyle w:val="NormalWeb"/>
        <w:ind w:left="640" w:hanging="640"/>
        <w:divId w:val="2086679128"/>
        <w:rPr>
          <w:noProof/>
          <w:lang w:val="en-US"/>
        </w:rPr>
      </w:pPr>
      <w:r w:rsidRPr="008F61E2">
        <w:rPr>
          <w:noProof/>
          <w:lang w:val="en-US"/>
        </w:rPr>
        <w:t xml:space="preserve">(44) </w:t>
      </w:r>
      <w:r w:rsidRPr="008F61E2">
        <w:rPr>
          <w:noProof/>
          <w:lang w:val="en-US"/>
        </w:rPr>
        <w:tab/>
        <w:t xml:space="preserve">Yang, Z.; Zhao, Y.-P. Adsorption of His-Tagged Peptide to Ni, Cu and Au (100) Surfaces: Molecular Dynamics Simulation. </w:t>
      </w:r>
      <w:r w:rsidRPr="008F61E2">
        <w:rPr>
          <w:i/>
          <w:iCs/>
          <w:noProof/>
          <w:lang w:val="en-US"/>
        </w:rPr>
        <w:t>Eng. Anal. Bound. Elem.</w:t>
      </w:r>
      <w:r w:rsidRPr="008F61E2">
        <w:rPr>
          <w:noProof/>
          <w:lang w:val="en-US"/>
        </w:rPr>
        <w:t xml:space="preserve"> </w:t>
      </w:r>
      <w:r w:rsidRPr="008F61E2">
        <w:rPr>
          <w:b/>
          <w:bCs/>
          <w:noProof/>
          <w:lang w:val="en-US"/>
        </w:rPr>
        <w:t>2007</w:t>
      </w:r>
      <w:r w:rsidRPr="008F61E2">
        <w:rPr>
          <w:noProof/>
          <w:lang w:val="en-US"/>
        </w:rPr>
        <w:t xml:space="preserve">, </w:t>
      </w:r>
      <w:r w:rsidRPr="008F61E2">
        <w:rPr>
          <w:i/>
          <w:iCs/>
          <w:noProof/>
          <w:lang w:val="en-US"/>
        </w:rPr>
        <w:t>31</w:t>
      </w:r>
      <w:r w:rsidRPr="008F61E2">
        <w:rPr>
          <w:noProof/>
          <w:lang w:val="en-US"/>
        </w:rPr>
        <w:t>, 402–409.</w:t>
      </w:r>
    </w:p>
    <w:p w:rsidR="00227A92" w:rsidRPr="008F61E2" w:rsidRDefault="00227A92">
      <w:pPr>
        <w:pStyle w:val="NormalWeb"/>
        <w:ind w:left="640" w:hanging="640"/>
        <w:divId w:val="2086679128"/>
        <w:rPr>
          <w:noProof/>
          <w:lang w:val="en-US"/>
        </w:rPr>
      </w:pPr>
      <w:r w:rsidRPr="008F61E2">
        <w:rPr>
          <w:noProof/>
          <w:lang w:val="en-US"/>
        </w:rPr>
        <w:t xml:space="preserve">(45) </w:t>
      </w:r>
      <w:r w:rsidRPr="008F61E2">
        <w:rPr>
          <w:noProof/>
          <w:lang w:val="en-US"/>
        </w:rPr>
        <w:tab/>
        <w:t xml:space="preserve">Soong, R. K.; Stelick, S. J.; Bachand, G. D.; Montemagno, C. D. Evaluating Adhesion Strength of Biological Molecules to Nanofabricated Substrates. In </w:t>
      </w:r>
      <w:r w:rsidRPr="008F61E2">
        <w:rPr>
          <w:i/>
          <w:iCs/>
          <w:noProof/>
          <w:lang w:val="en-US"/>
        </w:rPr>
        <w:t>INTERNATIONAL CONFERENCE ON MODELING AND SIMULATION OF MICROSYSTEMS</w:t>
      </w:r>
      <w:r w:rsidRPr="008F61E2">
        <w:rPr>
          <w:noProof/>
          <w:lang w:val="en-US"/>
        </w:rPr>
        <w:t>; 1999; pp. 95–98.</w:t>
      </w:r>
    </w:p>
    <w:p w:rsidR="00227A92" w:rsidRPr="008F61E2" w:rsidRDefault="00227A92">
      <w:pPr>
        <w:pStyle w:val="NormalWeb"/>
        <w:ind w:left="640" w:hanging="640"/>
        <w:divId w:val="2086679128"/>
        <w:rPr>
          <w:noProof/>
          <w:lang w:val="en-US"/>
        </w:rPr>
      </w:pPr>
      <w:r w:rsidRPr="008F61E2">
        <w:rPr>
          <w:noProof/>
          <w:lang w:val="en-US"/>
        </w:rPr>
        <w:t xml:space="preserve">(46) </w:t>
      </w:r>
      <w:r w:rsidRPr="008F61E2">
        <w:rPr>
          <w:noProof/>
          <w:lang w:val="en-US"/>
        </w:rPr>
        <w:tab/>
        <w:t xml:space="preserve">Bachand, G. D.; Montemagno, C. D. Constructing Organic / Inorganic NEMS Devices Powered by Biomolecular Motors. </w:t>
      </w:r>
      <w:r w:rsidRPr="008F61E2">
        <w:rPr>
          <w:i/>
          <w:iCs/>
          <w:noProof/>
          <w:lang w:val="en-US"/>
        </w:rPr>
        <w:t>Biomed. Microdevices</w:t>
      </w:r>
      <w:r w:rsidRPr="008F61E2">
        <w:rPr>
          <w:noProof/>
          <w:lang w:val="en-US"/>
        </w:rPr>
        <w:t xml:space="preserve"> </w:t>
      </w:r>
      <w:r w:rsidRPr="008F61E2">
        <w:rPr>
          <w:b/>
          <w:bCs/>
          <w:noProof/>
          <w:lang w:val="en-US"/>
        </w:rPr>
        <w:t>2000</w:t>
      </w:r>
      <w:r w:rsidRPr="008F61E2">
        <w:rPr>
          <w:noProof/>
          <w:lang w:val="en-US"/>
        </w:rPr>
        <w:t xml:space="preserve">, </w:t>
      </w:r>
      <w:r w:rsidRPr="008F61E2">
        <w:rPr>
          <w:i/>
          <w:iCs/>
          <w:noProof/>
          <w:lang w:val="en-US"/>
        </w:rPr>
        <w:t>2:3</w:t>
      </w:r>
      <w:r w:rsidRPr="008F61E2">
        <w:rPr>
          <w:noProof/>
          <w:lang w:val="en-US"/>
        </w:rPr>
        <w:t>, 179–184.</w:t>
      </w:r>
    </w:p>
    <w:p w:rsidR="00227A92" w:rsidRPr="008F61E2" w:rsidRDefault="00227A92">
      <w:pPr>
        <w:pStyle w:val="NormalWeb"/>
        <w:ind w:left="640" w:hanging="640"/>
        <w:divId w:val="2086679128"/>
        <w:rPr>
          <w:noProof/>
          <w:lang w:val="en-US"/>
        </w:rPr>
      </w:pPr>
      <w:r w:rsidRPr="008F61E2">
        <w:rPr>
          <w:noProof/>
          <w:lang w:val="en-US"/>
        </w:rPr>
        <w:t xml:space="preserve">(47) </w:t>
      </w:r>
      <w:r w:rsidRPr="008F61E2">
        <w:rPr>
          <w:noProof/>
          <w:lang w:val="en-US"/>
        </w:rPr>
        <w:tab/>
        <w:t xml:space="preserve">Baio, J. E.; Cheng, F.; Ratner, D. M.; Stayton, P. S.; Castner, D. G. Probing Orientation of Immobilized Humanized Anti-Lysozyme Variable Fragment by Time-of-Flight Secondary-Ion Mass Spectrometry. </w:t>
      </w:r>
      <w:r w:rsidRPr="008F61E2">
        <w:rPr>
          <w:i/>
          <w:iCs/>
          <w:noProof/>
          <w:lang w:val="en-US"/>
        </w:rPr>
        <w:t>J. Biomed. Mater. Res. A</w:t>
      </w:r>
      <w:r w:rsidRPr="008F61E2">
        <w:rPr>
          <w:noProof/>
          <w:lang w:val="en-US"/>
        </w:rPr>
        <w:t xml:space="preserve"> </w:t>
      </w:r>
      <w:r w:rsidRPr="008F61E2">
        <w:rPr>
          <w:b/>
          <w:bCs/>
          <w:noProof/>
          <w:lang w:val="en-US"/>
        </w:rPr>
        <w:t>2011</w:t>
      </w:r>
      <w:r w:rsidRPr="008F61E2">
        <w:rPr>
          <w:noProof/>
          <w:lang w:val="en-US"/>
        </w:rPr>
        <w:t xml:space="preserve">, </w:t>
      </w:r>
      <w:r w:rsidR="00BA3BC3">
        <w:rPr>
          <w:noProof/>
          <w:lang w:val="en-US"/>
        </w:rPr>
        <w:t xml:space="preserve">97, </w:t>
      </w:r>
      <w:r w:rsidRPr="008F61E2">
        <w:rPr>
          <w:noProof/>
          <w:lang w:val="en-US"/>
        </w:rPr>
        <w:t>1–7.</w:t>
      </w:r>
    </w:p>
    <w:p w:rsidR="00227A92" w:rsidRPr="008F61E2" w:rsidRDefault="00227A92">
      <w:pPr>
        <w:pStyle w:val="NormalWeb"/>
        <w:ind w:left="640" w:hanging="640"/>
        <w:divId w:val="2086679128"/>
        <w:rPr>
          <w:noProof/>
          <w:lang w:val="en-US"/>
        </w:rPr>
      </w:pPr>
      <w:r w:rsidRPr="008F61E2">
        <w:rPr>
          <w:noProof/>
          <w:lang w:val="en-US"/>
        </w:rPr>
        <w:t xml:space="preserve">(48) </w:t>
      </w:r>
      <w:r w:rsidRPr="008F61E2">
        <w:rPr>
          <w:noProof/>
          <w:lang w:val="en-US"/>
        </w:rPr>
        <w:tab/>
        <w:t xml:space="preserve">Trilling, A. K.; Beekwilder, J.; Zuilhof, H. Antibody Orientation on Biosensor Surfaces: A Minireview. </w:t>
      </w:r>
      <w:r w:rsidRPr="008F61E2">
        <w:rPr>
          <w:i/>
          <w:iCs/>
          <w:noProof/>
          <w:lang w:val="en-US"/>
        </w:rPr>
        <w:t>Analyst</w:t>
      </w:r>
      <w:r w:rsidRPr="008F61E2">
        <w:rPr>
          <w:noProof/>
          <w:lang w:val="en-US"/>
        </w:rPr>
        <w:t xml:space="preserve"> </w:t>
      </w:r>
      <w:r w:rsidRPr="008F61E2">
        <w:rPr>
          <w:b/>
          <w:bCs/>
          <w:noProof/>
          <w:lang w:val="en-US"/>
        </w:rPr>
        <w:t>2013</w:t>
      </w:r>
      <w:r w:rsidRPr="008F61E2">
        <w:rPr>
          <w:noProof/>
          <w:lang w:val="en-US"/>
        </w:rPr>
        <w:t xml:space="preserve">, </w:t>
      </w:r>
      <w:r w:rsidRPr="008F61E2">
        <w:rPr>
          <w:i/>
          <w:iCs/>
          <w:noProof/>
          <w:lang w:val="en-US"/>
        </w:rPr>
        <w:t>138</w:t>
      </w:r>
      <w:r w:rsidRPr="008F61E2">
        <w:rPr>
          <w:noProof/>
          <w:lang w:val="en-US"/>
        </w:rPr>
        <w:t>, 1619–1627.</w:t>
      </w:r>
    </w:p>
    <w:p w:rsidR="00227A92" w:rsidRPr="008F61E2" w:rsidRDefault="00227A92">
      <w:pPr>
        <w:pStyle w:val="NormalWeb"/>
        <w:ind w:left="640" w:hanging="640"/>
        <w:divId w:val="2086679128"/>
        <w:rPr>
          <w:noProof/>
          <w:lang w:val="en-US"/>
        </w:rPr>
      </w:pPr>
      <w:r w:rsidRPr="008F61E2">
        <w:rPr>
          <w:noProof/>
          <w:lang w:val="en-US"/>
        </w:rPr>
        <w:t xml:space="preserve">(49) </w:t>
      </w:r>
      <w:r w:rsidRPr="008F61E2">
        <w:rPr>
          <w:noProof/>
          <w:lang w:val="en-US"/>
        </w:rPr>
        <w:tab/>
        <w:t xml:space="preserve">Bae, Y. M.; Oh, B.-K.; Lee, W.; Lee, W. H.; Choi, J.-W. Study on Orientation of Immunoglobulin G on Protein G Layer. </w:t>
      </w:r>
      <w:r w:rsidRPr="008F61E2">
        <w:rPr>
          <w:i/>
          <w:iCs/>
          <w:noProof/>
          <w:lang w:val="en-US"/>
        </w:rPr>
        <w:t>Biosens. Bioelectron.</w:t>
      </w:r>
      <w:r w:rsidRPr="008F61E2">
        <w:rPr>
          <w:noProof/>
          <w:lang w:val="en-US"/>
        </w:rPr>
        <w:t xml:space="preserve"> </w:t>
      </w:r>
      <w:r w:rsidRPr="008F61E2">
        <w:rPr>
          <w:b/>
          <w:bCs/>
          <w:noProof/>
          <w:lang w:val="en-US"/>
        </w:rPr>
        <w:t>2005</w:t>
      </w:r>
      <w:r w:rsidRPr="008F61E2">
        <w:rPr>
          <w:noProof/>
          <w:lang w:val="en-US"/>
        </w:rPr>
        <w:t xml:space="preserve">, </w:t>
      </w:r>
      <w:r w:rsidRPr="008F61E2">
        <w:rPr>
          <w:i/>
          <w:iCs/>
          <w:noProof/>
          <w:lang w:val="en-US"/>
        </w:rPr>
        <w:t>21</w:t>
      </w:r>
      <w:r w:rsidRPr="008F61E2">
        <w:rPr>
          <w:noProof/>
          <w:lang w:val="en-US"/>
        </w:rPr>
        <w:t>, 103–110.</w:t>
      </w:r>
    </w:p>
    <w:p w:rsidR="00227A92" w:rsidRPr="008F61E2" w:rsidRDefault="00227A92">
      <w:pPr>
        <w:pStyle w:val="NormalWeb"/>
        <w:ind w:left="640" w:hanging="640"/>
        <w:divId w:val="2086679128"/>
        <w:rPr>
          <w:noProof/>
          <w:lang w:val="en-US"/>
        </w:rPr>
      </w:pPr>
      <w:r w:rsidRPr="008F61E2">
        <w:rPr>
          <w:noProof/>
          <w:lang w:val="en-US"/>
        </w:rPr>
        <w:t xml:space="preserve">(50) </w:t>
      </w:r>
      <w:r w:rsidRPr="008F61E2">
        <w:rPr>
          <w:noProof/>
          <w:lang w:val="en-US"/>
        </w:rPr>
        <w:tab/>
        <w:t xml:space="preserve">Song, H. Y.; Zhou, X.; Hobley, J.; Su, X. Comparative Study of Random and Oriented Antibody Immobilization as Measured by Dual Polarization Interferometry and Surface Plasmon Resonance Spectroscopy. </w:t>
      </w:r>
      <w:r w:rsidRPr="008F61E2">
        <w:rPr>
          <w:i/>
          <w:iCs/>
          <w:noProof/>
          <w:lang w:val="en-US"/>
        </w:rPr>
        <w:t>Langmuir</w:t>
      </w:r>
      <w:r w:rsidRPr="008F61E2">
        <w:rPr>
          <w:noProof/>
          <w:lang w:val="en-US"/>
        </w:rPr>
        <w:t xml:space="preserve"> </w:t>
      </w:r>
      <w:r w:rsidRPr="008F61E2">
        <w:rPr>
          <w:b/>
          <w:bCs/>
          <w:noProof/>
          <w:lang w:val="en-US"/>
        </w:rPr>
        <w:t>2012</w:t>
      </w:r>
      <w:r w:rsidRPr="008F61E2">
        <w:rPr>
          <w:noProof/>
          <w:lang w:val="en-US"/>
        </w:rPr>
        <w:t xml:space="preserve">, </w:t>
      </w:r>
      <w:r w:rsidRPr="008F61E2">
        <w:rPr>
          <w:i/>
          <w:iCs/>
          <w:noProof/>
          <w:lang w:val="en-US"/>
        </w:rPr>
        <w:t>28</w:t>
      </w:r>
      <w:r w:rsidRPr="008F61E2">
        <w:rPr>
          <w:noProof/>
          <w:lang w:val="en-US"/>
        </w:rPr>
        <w:t>, 997–1004.</w:t>
      </w:r>
    </w:p>
    <w:p w:rsidR="00227A92" w:rsidRPr="008F61E2" w:rsidRDefault="00227A92">
      <w:pPr>
        <w:pStyle w:val="NormalWeb"/>
        <w:ind w:left="640" w:hanging="640"/>
        <w:divId w:val="2086679128"/>
        <w:rPr>
          <w:noProof/>
          <w:lang w:val="en-US"/>
        </w:rPr>
      </w:pPr>
      <w:r w:rsidRPr="008F61E2">
        <w:rPr>
          <w:noProof/>
          <w:lang w:val="en-US"/>
        </w:rPr>
        <w:lastRenderedPageBreak/>
        <w:t xml:space="preserve">(51) </w:t>
      </w:r>
      <w:r w:rsidRPr="008F61E2">
        <w:rPr>
          <w:noProof/>
          <w:lang w:val="en-US"/>
        </w:rPr>
        <w:tab/>
        <w:t xml:space="preserve">Mark, L. W.; Smith, D. A. Complex Chemical Force Titration Behavior of Amine-Terminated Self-Assembled Monolayers. </w:t>
      </w:r>
      <w:r w:rsidRPr="008F61E2">
        <w:rPr>
          <w:i/>
          <w:iCs/>
          <w:noProof/>
          <w:lang w:val="en-US"/>
        </w:rPr>
        <w:t>Langmuir</w:t>
      </w:r>
      <w:r w:rsidRPr="008F61E2">
        <w:rPr>
          <w:noProof/>
          <w:lang w:val="en-US"/>
        </w:rPr>
        <w:t xml:space="preserve"> </w:t>
      </w:r>
      <w:r w:rsidRPr="008F61E2">
        <w:rPr>
          <w:b/>
          <w:bCs/>
          <w:noProof/>
          <w:lang w:val="en-US"/>
        </w:rPr>
        <w:t>2001</w:t>
      </w:r>
      <w:r w:rsidRPr="008F61E2">
        <w:rPr>
          <w:noProof/>
          <w:lang w:val="en-US"/>
        </w:rPr>
        <w:t xml:space="preserve">, </w:t>
      </w:r>
      <w:r w:rsidRPr="008F61E2">
        <w:rPr>
          <w:i/>
          <w:iCs/>
          <w:noProof/>
          <w:lang w:val="en-US"/>
        </w:rPr>
        <w:t>17</w:t>
      </w:r>
      <w:r w:rsidRPr="008F61E2">
        <w:rPr>
          <w:noProof/>
          <w:lang w:val="en-US"/>
        </w:rPr>
        <w:t>, 1126–1131.</w:t>
      </w:r>
    </w:p>
    <w:p w:rsidR="00227A92" w:rsidRPr="008F61E2" w:rsidRDefault="00227A92">
      <w:pPr>
        <w:pStyle w:val="NormalWeb"/>
        <w:ind w:left="640" w:hanging="640"/>
        <w:divId w:val="2086679128"/>
        <w:rPr>
          <w:noProof/>
          <w:lang w:val="en-US"/>
        </w:rPr>
      </w:pPr>
      <w:r w:rsidRPr="008F61E2">
        <w:rPr>
          <w:noProof/>
          <w:lang w:val="en-US"/>
        </w:rPr>
        <w:t xml:space="preserve">(52) </w:t>
      </w:r>
      <w:r w:rsidRPr="008F61E2">
        <w:rPr>
          <w:noProof/>
          <w:lang w:val="en-US"/>
        </w:rPr>
        <w:tab/>
        <w:t xml:space="preserve">San Paulo, A.; García, R. Attractive and Repulsive Tip-Sample Interaction Regimes in Tapping-Mode Atomic Force Microscopy. </w:t>
      </w:r>
      <w:r w:rsidRPr="008F61E2">
        <w:rPr>
          <w:i/>
          <w:iCs/>
          <w:noProof/>
          <w:lang w:val="en-US"/>
        </w:rPr>
        <w:t>Phys. Rev. B</w:t>
      </w:r>
      <w:r w:rsidRPr="008F61E2">
        <w:rPr>
          <w:noProof/>
          <w:lang w:val="en-US"/>
        </w:rPr>
        <w:t xml:space="preserve"> </w:t>
      </w:r>
      <w:r w:rsidRPr="008F61E2">
        <w:rPr>
          <w:b/>
          <w:bCs/>
          <w:noProof/>
          <w:lang w:val="en-US"/>
        </w:rPr>
        <w:t>1999</w:t>
      </w:r>
      <w:r w:rsidRPr="008F61E2">
        <w:rPr>
          <w:noProof/>
          <w:lang w:val="en-US"/>
        </w:rPr>
        <w:t xml:space="preserve">, </w:t>
      </w:r>
      <w:r w:rsidRPr="008F61E2">
        <w:rPr>
          <w:i/>
          <w:iCs/>
          <w:noProof/>
          <w:lang w:val="en-US"/>
        </w:rPr>
        <w:t>60</w:t>
      </w:r>
      <w:r w:rsidRPr="008F61E2">
        <w:rPr>
          <w:noProof/>
          <w:lang w:val="en-US"/>
        </w:rPr>
        <w:t>, 4961–4967.</w:t>
      </w:r>
    </w:p>
    <w:p w:rsidR="00227A92" w:rsidRPr="008F61E2" w:rsidRDefault="00227A92">
      <w:pPr>
        <w:pStyle w:val="NormalWeb"/>
        <w:ind w:left="640" w:hanging="640"/>
        <w:divId w:val="2086679128"/>
        <w:rPr>
          <w:noProof/>
          <w:lang w:val="en-US"/>
        </w:rPr>
      </w:pPr>
      <w:r w:rsidRPr="008F61E2">
        <w:rPr>
          <w:noProof/>
          <w:lang w:val="en-US"/>
        </w:rPr>
        <w:t xml:space="preserve">(53) </w:t>
      </w:r>
      <w:r w:rsidRPr="008F61E2">
        <w:rPr>
          <w:noProof/>
          <w:lang w:val="en-US"/>
        </w:rPr>
        <w:tab/>
        <w:t xml:space="preserve">Zhao, X.; Yaseen, M.; Pan, F.; Lu, J. R.; Street, M.; Sheffield, S. </w:t>
      </w:r>
      <w:r w:rsidRPr="008F61E2">
        <w:rPr>
          <w:i/>
          <w:iCs/>
          <w:noProof/>
          <w:lang w:val="en-US"/>
        </w:rPr>
        <w:t>Protein and Interfaces III. State of the Art</w:t>
      </w:r>
      <w:r w:rsidRPr="008F61E2">
        <w:rPr>
          <w:noProof/>
          <w:lang w:val="en-US"/>
        </w:rPr>
        <w:t>; 2012; pp. 543–574.</w:t>
      </w:r>
    </w:p>
    <w:p w:rsidR="00227A92" w:rsidRPr="008F61E2" w:rsidRDefault="00227A92">
      <w:pPr>
        <w:pStyle w:val="NormalWeb"/>
        <w:ind w:left="640" w:hanging="640"/>
        <w:divId w:val="2086679128"/>
        <w:rPr>
          <w:noProof/>
          <w:lang w:val="en-US"/>
        </w:rPr>
      </w:pPr>
      <w:r w:rsidRPr="008F61E2">
        <w:rPr>
          <w:noProof/>
          <w:lang w:val="en-US"/>
        </w:rPr>
        <w:t xml:space="preserve">(54) </w:t>
      </w:r>
      <w:r w:rsidRPr="008F61E2">
        <w:rPr>
          <w:noProof/>
          <w:lang w:val="en-US"/>
        </w:rPr>
        <w:tab/>
        <w:t xml:space="preserve">Ido, S.; Kimiya, H.; Kobayashi, K.; Kominami, H.; Matsushige, K.; Yamada, H. Immunoactive Two-Dimensional Self-Assembly of Monoclonal Antibodies in Aqueous Solution Revealed by Atomic Force Microscopy. </w:t>
      </w:r>
      <w:r w:rsidRPr="008F61E2">
        <w:rPr>
          <w:i/>
          <w:iCs/>
          <w:noProof/>
          <w:lang w:val="en-US"/>
        </w:rPr>
        <w:t>Nat. Mater.</w:t>
      </w:r>
      <w:r w:rsidRPr="008F61E2">
        <w:rPr>
          <w:noProof/>
          <w:lang w:val="en-US"/>
        </w:rPr>
        <w:t xml:space="preserve"> </w:t>
      </w:r>
      <w:r w:rsidRPr="008F61E2">
        <w:rPr>
          <w:b/>
          <w:bCs/>
          <w:noProof/>
          <w:lang w:val="en-US"/>
        </w:rPr>
        <w:t>2014</w:t>
      </w:r>
      <w:r w:rsidRPr="008F61E2">
        <w:rPr>
          <w:noProof/>
          <w:lang w:val="en-US"/>
        </w:rPr>
        <w:t xml:space="preserve">, </w:t>
      </w:r>
      <w:r w:rsidRPr="008F61E2">
        <w:rPr>
          <w:i/>
          <w:iCs/>
          <w:noProof/>
          <w:lang w:val="en-US"/>
        </w:rPr>
        <w:t>13</w:t>
      </w:r>
      <w:r w:rsidRPr="008F61E2">
        <w:rPr>
          <w:noProof/>
          <w:lang w:val="en-US"/>
        </w:rPr>
        <w:t>, 264–270.</w:t>
      </w:r>
    </w:p>
    <w:p w:rsidR="00227A92" w:rsidRPr="008F61E2" w:rsidRDefault="00227A92">
      <w:pPr>
        <w:pStyle w:val="NormalWeb"/>
        <w:ind w:left="640" w:hanging="640"/>
        <w:divId w:val="2086679128"/>
        <w:rPr>
          <w:noProof/>
          <w:lang w:val="en-US"/>
        </w:rPr>
      </w:pPr>
      <w:r w:rsidRPr="008F61E2">
        <w:rPr>
          <w:noProof/>
          <w:lang w:val="en-US"/>
        </w:rPr>
        <w:t xml:space="preserve">(55) </w:t>
      </w:r>
      <w:r w:rsidRPr="008F61E2">
        <w:rPr>
          <w:noProof/>
          <w:lang w:val="en-US"/>
        </w:rPr>
        <w:tab/>
        <w:t xml:space="preserve">Press, W. H.; Teukolsky, S. A.; Vetterling, W. T.; Flannery, B. P. </w:t>
      </w:r>
      <w:r w:rsidRPr="008F61E2">
        <w:rPr>
          <w:i/>
          <w:iCs/>
          <w:noProof/>
          <w:lang w:val="en-US"/>
        </w:rPr>
        <w:t>Numerical Recipes, The Art of Scientific Computing</w:t>
      </w:r>
      <w:r w:rsidRPr="008F61E2">
        <w:rPr>
          <w:noProof/>
          <w:lang w:val="en-US"/>
        </w:rPr>
        <w:t>; 2007.</w:t>
      </w:r>
    </w:p>
    <w:p w:rsidR="00227A92" w:rsidRPr="008F61E2" w:rsidRDefault="00227A92">
      <w:pPr>
        <w:pStyle w:val="NormalWeb"/>
        <w:ind w:left="640" w:hanging="640"/>
        <w:divId w:val="2086679128"/>
        <w:rPr>
          <w:noProof/>
          <w:lang w:val="en-US"/>
        </w:rPr>
      </w:pPr>
      <w:r w:rsidRPr="008F61E2">
        <w:rPr>
          <w:noProof/>
          <w:lang w:val="en-US"/>
        </w:rPr>
        <w:t xml:space="preserve">(56) </w:t>
      </w:r>
      <w:r w:rsidRPr="008F61E2">
        <w:rPr>
          <w:noProof/>
          <w:lang w:val="en-US"/>
        </w:rPr>
        <w:tab/>
        <w:t xml:space="preserve">Abramowitz, M.; Stegun, I. A. </w:t>
      </w:r>
      <w:r w:rsidRPr="008F61E2">
        <w:rPr>
          <w:i/>
          <w:iCs/>
          <w:noProof/>
          <w:lang w:val="en-US"/>
        </w:rPr>
        <w:t>Handbook of Mathematical Functions with Formulas, Graphs, and Mathematical Tables</w:t>
      </w:r>
      <w:r w:rsidRPr="008F61E2">
        <w:rPr>
          <w:noProof/>
          <w:lang w:val="en-US"/>
        </w:rPr>
        <w:t>; 1972.</w:t>
      </w:r>
    </w:p>
    <w:p w:rsidR="00227A92" w:rsidRPr="008F61E2" w:rsidRDefault="00227A92">
      <w:pPr>
        <w:pStyle w:val="NormalWeb"/>
        <w:ind w:left="640" w:hanging="640"/>
        <w:divId w:val="2086679128"/>
        <w:rPr>
          <w:noProof/>
          <w:lang w:val="en-US"/>
        </w:rPr>
      </w:pPr>
      <w:r w:rsidRPr="008F61E2">
        <w:rPr>
          <w:noProof/>
          <w:lang w:val="en-US"/>
        </w:rPr>
        <w:t xml:space="preserve">(57) </w:t>
      </w:r>
      <w:r w:rsidRPr="008F61E2">
        <w:rPr>
          <w:noProof/>
          <w:lang w:val="en-US"/>
        </w:rPr>
        <w:tab/>
        <w:t xml:space="preserve">Biscarini, F.; Zamboni, R.; Samorì, P.; Ostoja, P.; Taliani, C. Growth of Conjugated Oligomer Thin Films Studied by Atomic-Force Microscopy. </w:t>
      </w:r>
      <w:r w:rsidRPr="008F61E2">
        <w:rPr>
          <w:i/>
          <w:iCs/>
          <w:noProof/>
          <w:lang w:val="en-US"/>
        </w:rPr>
        <w:t>Phys. Rev. B</w:t>
      </w:r>
      <w:r w:rsidRPr="008F61E2">
        <w:rPr>
          <w:noProof/>
          <w:lang w:val="en-US"/>
        </w:rPr>
        <w:t xml:space="preserve"> </w:t>
      </w:r>
      <w:r w:rsidRPr="008F61E2">
        <w:rPr>
          <w:b/>
          <w:bCs/>
          <w:noProof/>
          <w:lang w:val="en-US"/>
        </w:rPr>
        <w:t>1995</w:t>
      </w:r>
      <w:r w:rsidRPr="008F61E2">
        <w:rPr>
          <w:noProof/>
          <w:lang w:val="en-US"/>
        </w:rPr>
        <w:t xml:space="preserve">, </w:t>
      </w:r>
      <w:r w:rsidRPr="008F61E2">
        <w:rPr>
          <w:i/>
          <w:iCs/>
          <w:noProof/>
          <w:lang w:val="en-US"/>
        </w:rPr>
        <w:t>52</w:t>
      </w:r>
      <w:r w:rsidRPr="008F61E2">
        <w:rPr>
          <w:noProof/>
          <w:lang w:val="en-US"/>
        </w:rPr>
        <w:t>, 14868–14877.</w:t>
      </w:r>
    </w:p>
    <w:p w:rsidR="00227A92" w:rsidRPr="008F61E2" w:rsidRDefault="00227A92">
      <w:pPr>
        <w:pStyle w:val="NormalWeb"/>
        <w:ind w:left="640" w:hanging="640"/>
        <w:divId w:val="2086679128"/>
        <w:rPr>
          <w:noProof/>
          <w:lang w:val="en-US"/>
        </w:rPr>
      </w:pPr>
      <w:r w:rsidRPr="008F61E2">
        <w:rPr>
          <w:noProof/>
          <w:lang w:val="en-US"/>
        </w:rPr>
        <w:t xml:space="preserve">(58) </w:t>
      </w:r>
      <w:r w:rsidRPr="008F61E2">
        <w:rPr>
          <w:noProof/>
          <w:lang w:val="en-US"/>
        </w:rPr>
        <w:tab/>
        <w:t xml:space="preserve">Schwesinger, F.; Ros, R.; Strunz, T.; Anselmetti, D.; Güntherodt, H.-J.; Honegger, A.; Jermutus, L.; Tiefenauer, L.; Plückthun, A. Unbinding Forces of Single Antibody-Antigen Complexes Correlate with Their Thermal Dissociation Rates. </w:t>
      </w:r>
      <w:r w:rsidRPr="008F61E2">
        <w:rPr>
          <w:i/>
          <w:iCs/>
          <w:noProof/>
          <w:lang w:val="en-US"/>
        </w:rPr>
        <w:t>Proc. Natl. Acad. Sci.</w:t>
      </w:r>
      <w:r w:rsidRPr="008F61E2">
        <w:rPr>
          <w:noProof/>
          <w:lang w:val="en-US"/>
        </w:rPr>
        <w:t xml:space="preserve"> </w:t>
      </w:r>
      <w:r w:rsidRPr="008F61E2">
        <w:rPr>
          <w:b/>
          <w:bCs/>
          <w:noProof/>
          <w:lang w:val="en-US"/>
        </w:rPr>
        <w:t>2000</w:t>
      </w:r>
      <w:r w:rsidRPr="008F61E2">
        <w:rPr>
          <w:noProof/>
          <w:lang w:val="en-US"/>
        </w:rPr>
        <w:t xml:space="preserve">, </w:t>
      </w:r>
      <w:r w:rsidRPr="008F61E2">
        <w:rPr>
          <w:i/>
          <w:iCs/>
          <w:noProof/>
          <w:lang w:val="en-US"/>
        </w:rPr>
        <w:t>97</w:t>
      </w:r>
      <w:r w:rsidRPr="008F61E2">
        <w:rPr>
          <w:noProof/>
          <w:lang w:val="en-US"/>
        </w:rPr>
        <w:t>, 9972–9977.</w:t>
      </w:r>
    </w:p>
    <w:p w:rsidR="00227A92" w:rsidRPr="008F61E2" w:rsidRDefault="00227A92">
      <w:pPr>
        <w:pStyle w:val="NormalWeb"/>
        <w:ind w:left="640" w:hanging="640"/>
        <w:divId w:val="2086679128"/>
        <w:rPr>
          <w:noProof/>
          <w:lang w:val="en-US"/>
        </w:rPr>
      </w:pPr>
      <w:r w:rsidRPr="008F61E2">
        <w:rPr>
          <w:noProof/>
          <w:lang w:val="en-US"/>
        </w:rPr>
        <w:t xml:space="preserve">(59) </w:t>
      </w:r>
      <w:r w:rsidRPr="008F61E2">
        <w:rPr>
          <w:noProof/>
          <w:lang w:val="en-US"/>
        </w:rPr>
        <w:tab/>
        <w:t xml:space="preserve">Brogan, K. L.; Shin, J. H.; Schoenfisch, M. H. Influence of Surfactants and Antibody Immobilization Strategy on Reducing Nonspecific Protein Interactions for Molecular Recognition Force Microscopy. </w:t>
      </w:r>
      <w:r w:rsidRPr="008F61E2">
        <w:rPr>
          <w:i/>
          <w:iCs/>
          <w:noProof/>
          <w:lang w:val="en-US"/>
        </w:rPr>
        <w:t>Langmuir</w:t>
      </w:r>
      <w:r w:rsidRPr="008F61E2">
        <w:rPr>
          <w:noProof/>
          <w:lang w:val="en-US"/>
        </w:rPr>
        <w:t xml:space="preserve"> </w:t>
      </w:r>
      <w:r w:rsidRPr="008F61E2">
        <w:rPr>
          <w:b/>
          <w:bCs/>
          <w:noProof/>
          <w:lang w:val="en-US"/>
        </w:rPr>
        <w:t>2004</w:t>
      </w:r>
      <w:r w:rsidRPr="008F61E2">
        <w:rPr>
          <w:noProof/>
          <w:lang w:val="en-US"/>
        </w:rPr>
        <w:t xml:space="preserve">, </w:t>
      </w:r>
      <w:r w:rsidRPr="008F61E2">
        <w:rPr>
          <w:i/>
          <w:iCs/>
          <w:noProof/>
          <w:lang w:val="en-US"/>
        </w:rPr>
        <w:t>20</w:t>
      </w:r>
      <w:r w:rsidRPr="008F61E2">
        <w:rPr>
          <w:noProof/>
          <w:lang w:val="en-US"/>
        </w:rPr>
        <w:t>, 9729–9735.</w:t>
      </w:r>
    </w:p>
    <w:p w:rsidR="00227A92" w:rsidRPr="008F61E2" w:rsidRDefault="00227A92">
      <w:pPr>
        <w:pStyle w:val="NormalWeb"/>
        <w:ind w:left="640" w:hanging="640"/>
        <w:divId w:val="2086679128"/>
        <w:rPr>
          <w:noProof/>
          <w:lang w:val="en-US"/>
        </w:rPr>
      </w:pPr>
      <w:r w:rsidRPr="008F61E2">
        <w:rPr>
          <w:noProof/>
          <w:lang w:val="en-US"/>
        </w:rPr>
        <w:t xml:space="preserve">(60) </w:t>
      </w:r>
      <w:r w:rsidRPr="008F61E2">
        <w:rPr>
          <w:noProof/>
          <w:lang w:val="en-US"/>
        </w:rPr>
        <w:tab/>
        <w:t xml:space="preserve">Berquand, A.; Xia, N.; Castner, D. G.; Clare, B. H.; Abbott, N. L.; Dupres, V.; Adriaensen, Y.; Dufrene, Y. F. Antigen Binding Forces of Single Antilysozyme Fv Fragments Explored by Atomic Force Microscopy. </w:t>
      </w:r>
      <w:r w:rsidRPr="008F61E2">
        <w:rPr>
          <w:i/>
          <w:iCs/>
          <w:noProof/>
          <w:lang w:val="en-US"/>
        </w:rPr>
        <w:t>Langmuir</w:t>
      </w:r>
      <w:r w:rsidRPr="008F61E2">
        <w:rPr>
          <w:noProof/>
          <w:lang w:val="en-US"/>
        </w:rPr>
        <w:t xml:space="preserve"> </w:t>
      </w:r>
      <w:r w:rsidRPr="008F61E2">
        <w:rPr>
          <w:b/>
          <w:bCs/>
          <w:noProof/>
          <w:lang w:val="en-US"/>
        </w:rPr>
        <w:t>2005</w:t>
      </w:r>
      <w:r w:rsidRPr="008F61E2">
        <w:rPr>
          <w:noProof/>
          <w:lang w:val="en-US"/>
        </w:rPr>
        <w:t xml:space="preserve">, </w:t>
      </w:r>
      <w:r w:rsidRPr="008F61E2">
        <w:rPr>
          <w:i/>
          <w:iCs/>
          <w:noProof/>
          <w:lang w:val="en-US"/>
        </w:rPr>
        <w:t>21</w:t>
      </w:r>
      <w:r w:rsidRPr="008F61E2">
        <w:rPr>
          <w:noProof/>
          <w:lang w:val="en-US"/>
        </w:rPr>
        <w:t>, 5517–5523.</w:t>
      </w:r>
    </w:p>
    <w:p w:rsidR="00227A92" w:rsidRPr="008F61E2" w:rsidRDefault="00227A92">
      <w:pPr>
        <w:pStyle w:val="NormalWeb"/>
        <w:ind w:left="640" w:hanging="640"/>
        <w:divId w:val="2086679128"/>
        <w:rPr>
          <w:noProof/>
          <w:lang w:val="en-US"/>
        </w:rPr>
      </w:pPr>
      <w:r w:rsidRPr="008F61E2">
        <w:rPr>
          <w:noProof/>
          <w:lang w:val="en-US"/>
        </w:rPr>
        <w:t xml:space="preserve">(61) </w:t>
      </w:r>
      <w:r w:rsidRPr="008F61E2">
        <w:rPr>
          <w:noProof/>
          <w:lang w:val="en-US"/>
        </w:rPr>
        <w:tab/>
        <w:t xml:space="preserve">Kienberger, F.; Kada, G.; Mueller, H.; Hinterdorfer, P. Single Molecule Studies of Antibody-Antigen Interaction Strength </w:t>
      </w:r>
      <w:r w:rsidRPr="00F82CF4">
        <w:rPr>
          <w:i/>
          <w:noProof/>
          <w:lang w:val="en-US"/>
        </w:rPr>
        <w:t>versus</w:t>
      </w:r>
      <w:r w:rsidRPr="008F61E2">
        <w:rPr>
          <w:noProof/>
          <w:lang w:val="en-US"/>
        </w:rPr>
        <w:t xml:space="preserve"> Intra-Molecular Antigen Stability. </w:t>
      </w:r>
      <w:r w:rsidRPr="008F61E2">
        <w:rPr>
          <w:i/>
          <w:iCs/>
          <w:noProof/>
          <w:lang w:val="en-US"/>
        </w:rPr>
        <w:t>J Mol Biol</w:t>
      </w:r>
      <w:r w:rsidRPr="008F61E2">
        <w:rPr>
          <w:noProof/>
          <w:lang w:val="en-US"/>
        </w:rPr>
        <w:t xml:space="preserve"> </w:t>
      </w:r>
      <w:r w:rsidRPr="008F61E2">
        <w:rPr>
          <w:b/>
          <w:bCs/>
          <w:noProof/>
          <w:lang w:val="en-US"/>
        </w:rPr>
        <w:t>2005</w:t>
      </w:r>
      <w:r w:rsidRPr="008F61E2">
        <w:rPr>
          <w:noProof/>
          <w:lang w:val="en-US"/>
        </w:rPr>
        <w:t xml:space="preserve">, </w:t>
      </w:r>
      <w:r w:rsidRPr="008F61E2">
        <w:rPr>
          <w:i/>
          <w:iCs/>
          <w:noProof/>
          <w:lang w:val="en-US"/>
        </w:rPr>
        <w:t>347</w:t>
      </w:r>
      <w:r w:rsidRPr="008F61E2">
        <w:rPr>
          <w:noProof/>
          <w:lang w:val="en-US"/>
        </w:rPr>
        <w:t>, 597–606.</w:t>
      </w:r>
    </w:p>
    <w:p w:rsidR="00227A92" w:rsidRPr="008F61E2" w:rsidRDefault="00227A92">
      <w:pPr>
        <w:pStyle w:val="NormalWeb"/>
        <w:ind w:left="640" w:hanging="640"/>
        <w:divId w:val="2086679128"/>
        <w:rPr>
          <w:noProof/>
          <w:lang w:val="en-US"/>
        </w:rPr>
      </w:pPr>
      <w:r w:rsidRPr="008F61E2">
        <w:rPr>
          <w:noProof/>
          <w:lang w:val="en-US"/>
        </w:rPr>
        <w:t xml:space="preserve">(62) </w:t>
      </w:r>
      <w:r w:rsidRPr="008F61E2">
        <w:rPr>
          <w:noProof/>
          <w:lang w:val="en-US"/>
        </w:rPr>
        <w:tab/>
        <w:t xml:space="preserve">Van Es, M. H.; Tang, J.; Preiner, J.; Hinterdorfer, P.; Oosterkamp, T. H. Single Molecule Binding Dynamics Measured with Atomic Force Microscopy. </w:t>
      </w:r>
      <w:r w:rsidRPr="008F61E2">
        <w:rPr>
          <w:i/>
          <w:iCs/>
          <w:noProof/>
          <w:lang w:val="en-US"/>
        </w:rPr>
        <w:t>Ultramicroscopy</w:t>
      </w:r>
      <w:r w:rsidRPr="008F61E2">
        <w:rPr>
          <w:noProof/>
          <w:lang w:val="en-US"/>
        </w:rPr>
        <w:t xml:space="preserve"> </w:t>
      </w:r>
      <w:r w:rsidRPr="008F61E2">
        <w:rPr>
          <w:b/>
          <w:bCs/>
          <w:noProof/>
          <w:lang w:val="en-US"/>
        </w:rPr>
        <w:t>2014</w:t>
      </w:r>
      <w:r w:rsidRPr="008F61E2">
        <w:rPr>
          <w:noProof/>
          <w:lang w:val="en-US"/>
        </w:rPr>
        <w:t xml:space="preserve">, </w:t>
      </w:r>
      <w:r w:rsidRPr="008F61E2">
        <w:rPr>
          <w:i/>
          <w:iCs/>
          <w:noProof/>
          <w:lang w:val="en-US"/>
        </w:rPr>
        <w:t>140</w:t>
      </w:r>
      <w:r w:rsidRPr="008F61E2">
        <w:rPr>
          <w:noProof/>
          <w:lang w:val="en-US"/>
        </w:rPr>
        <w:t>, 32–36.</w:t>
      </w:r>
    </w:p>
    <w:p w:rsidR="00227A92" w:rsidRPr="008F61E2" w:rsidRDefault="00227A92">
      <w:pPr>
        <w:pStyle w:val="NormalWeb"/>
        <w:ind w:left="640" w:hanging="640"/>
        <w:divId w:val="2086679128"/>
        <w:rPr>
          <w:noProof/>
          <w:lang w:val="en-US"/>
        </w:rPr>
      </w:pPr>
      <w:r w:rsidRPr="008F61E2">
        <w:rPr>
          <w:noProof/>
          <w:lang w:val="en-US"/>
        </w:rPr>
        <w:lastRenderedPageBreak/>
        <w:t xml:space="preserve">(63) </w:t>
      </w:r>
      <w:r w:rsidRPr="008F61E2">
        <w:rPr>
          <w:noProof/>
          <w:lang w:val="en-US"/>
        </w:rPr>
        <w:tab/>
        <w:t xml:space="preserve">Bizzarri, A. R.; Cannistraro, S. The Application of Atomic Force Spectroscopy to the Study of Biological Complexes Undergoing a Biorecognition Process. </w:t>
      </w:r>
      <w:r w:rsidRPr="008F61E2">
        <w:rPr>
          <w:i/>
          <w:iCs/>
          <w:noProof/>
          <w:lang w:val="en-US"/>
        </w:rPr>
        <w:t>Chem Soc Rev</w:t>
      </w:r>
      <w:r w:rsidRPr="008F61E2">
        <w:rPr>
          <w:noProof/>
          <w:lang w:val="en-US"/>
        </w:rPr>
        <w:t xml:space="preserve"> </w:t>
      </w:r>
      <w:r w:rsidRPr="008F61E2">
        <w:rPr>
          <w:b/>
          <w:bCs/>
          <w:noProof/>
          <w:lang w:val="en-US"/>
        </w:rPr>
        <w:t>2010</w:t>
      </w:r>
      <w:r w:rsidRPr="008F61E2">
        <w:rPr>
          <w:noProof/>
          <w:lang w:val="en-US"/>
        </w:rPr>
        <w:t xml:space="preserve">, </w:t>
      </w:r>
      <w:r w:rsidRPr="008F61E2">
        <w:rPr>
          <w:i/>
          <w:iCs/>
          <w:noProof/>
          <w:lang w:val="en-US"/>
        </w:rPr>
        <w:t>39</w:t>
      </w:r>
      <w:r w:rsidRPr="008F61E2">
        <w:rPr>
          <w:noProof/>
          <w:lang w:val="en-US"/>
        </w:rPr>
        <w:t>, 734–749.</w:t>
      </w:r>
    </w:p>
    <w:p w:rsidR="00227A92" w:rsidRPr="008F61E2" w:rsidRDefault="00227A92">
      <w:pPr>
        <w:pStyle w:val="NormalWeb"/>
        <w:ind w:left="640" w:hanging="640"/>
        <w:divId w:val="2086679128"/>
        <w:rPr>
          <w:noProof/>
          <w:lang w:val="en-US"/>
        </w:rPr>
      </w:pPr>
      <w:r w:rsidRPr="008F61E2">
        <w:rPr>
          <w:noProof/>
          <w:lang w:val="en-US"/>
        </w:rPr>
        <w:t xml:space="preserve">(64) </w:t>
      </w:r>
      <w:r w:rsidRPr="008F61E2">
        <w:rPr>
          <w:noProof/>
          <w:lang w:val="en-US"/>
        </w:rPr>
        <w:tab/>
        <w:t xml:space="preserve">Bonanni, B.; Bizzarri, A. R.; Cannistraro, S. Optimized Biorecognition of Cytochrome c 551 and Azurin Immobilized on Thiol-Terminated Monolayers Assembled on Au ( 111 ) Substrates. </w:t>
      </w:r>
      <w:r w:rsidRPr="008F61E2">
        <w:rPr>
          <w:i/>
          <w:iCs/>
          <w:noProof/>
          <w:lang w:val="en-US"/>
        </w:rPr>
        <w:t>J. Phys. Chem. B</w:t>
      </w:r>
      <w:r w:rsidRPr="008F61E2">
        <w:rPr>
          <w:noProof/>
          <w:lang w:val="en-US"/>
        </w:rPr>
        <w:t xml:space="preserve"> </w:t>
      </w:r>
      <w:r w:rsidRPr="008F61E2">
        <w:rPr>
          <w:b/>
          <w:bCs/>
          <w:noProof/>
          <w:lang w:val="en-US"/>
        </w:rPr>
        <w:t>2006</w:t>
      </w:r>
      <w:r w:rsidRPr="008F61E2">
        <w:rPr>
          <w:noProof/>
          <w:lang w:val="en-US"/>
        </w:rPr>
        <w:t xml:space="preserve">, </w:t>
      </w:r>
      <w:r w:rsidRPr="008F61E2">
        <w:rPr>
          <w:i/>
          <w:iCs/>
          <w:noProof/>
          <w:lang w:val="en-US"/>
        </w:rPr>
        <w:t>551</w:t>
      </w:r>
      <w:r w:rsidRPr="008F61E2">
        <w:rPr>
          <w:noProof/>
          <w:lang w:val="en-US"/>
        </w:rPr>
        <w:t>, 14574–14580.</w:t>
      </w:r>
    </w:p>
    <w:p w:rsidR="00227A92" w:rsidRPr="008F61E2" w:rsidRDefault="00227A92">
      <w:pPr>
        <w:pStyle w:val="NormalWeb"/>
        <w:ind w:left="640" w:hanging="640"/>
        <w:divId w:val="2086679128"/>
        <w:rPr>
          <w:noProof/>
          <w:lang w:val="en-US"/>
        </w:rPr>
      </w:pPr>
      <w:r w:rsidRPr="008F61E2">
        <w:rPr>
          <w:noProof/>
          <w:lang w:val="en-US"/>
        </w:rPr>
        <w:t xml:space="preserve">(65) </w:t>
      </w:r>
      <w:r w:rsidRPr="008F61E2">
        <w:rPr>
          <w:noProof/>
          <w:lang w:val="en-US"/>
        </w:rPr>
        <w:tab/>
        <w:t xml:space="preserve">Bonanni, B.; Kamruzzahan, A. S. M.; Bizzarri, A. R.; Rankl, C.; Gruber, H. J.; Hinterdorfer, P. Single Molecule Recognition between Cytochrome C 551 and Gold-Immobilized Azurin by Force Spectroscopy. </w:t>
      </w:r>
      <w:r w:rsidRPr="008F61E2">
        <w:rPr>
          <w:i/>
          <w:iCs/>
          <w:noProof/>
          <w:lang w:val="en-US"/>
        </w:rPr>
        <w:t>Biophys. J.</w:t>
      </w:r>
      <w:r w:rsidRPr="008F61E2">
        <w:rPr>
          <w:noProof/>
          <w:lang w:val="en-US"/>
        </w:rPr>
        <w:t xml:space="preserve"> </w:t>
      </w:r>
      <w:r w:rsidRPr="008F61E2">
        <w:rPr>
          <w:b/>
          <w:bCs/>
          <w:noProof/>
          <w:lang w:val="en-US"/>
        </w:rPr>
        <w:t>2005</w:t>
      </w:r>
      <w:r w:rsidRPr="008F61E2">
        <w:rPr>
          <w:noProof/>
          <w:lang w:val="en-US"/>
        </w:rPr>
        <w:t xml:space="preserve">, </w:t>
      </w:r>
      <w:r w:rsidRPr="008F61E2">
        <w:rPr>
          <w:i/>
          <w:iCs/>
          <w:noProof/>
          <w:lang w:val="en-US"/>
        </w:rPr>
        <w:t>89</w:t>
      </w:r>
      <w:r w:rsidRPr="008F61E2">
        <w:rPr>
          <w:noProof/>
          <w:lang w:val="en-US"/>
        </w:rPr>
        <w:t>, 2783–2791.</w:t>
      </w:r>
    </w:p>
    <w:p w:rsidR="00227A92" w:rsidRPr="008F61E2" w:rsidRDefault="00227A92">
      <w:pPr>
        <w:pStyle w:val="NormalWeb"/>
        <w:ind w:left="640" w:hanging="640"/>
        <w:divId w:val="2086679128"/>
        <w:rPr>
          <w:noProof/>
          <w:lang w:val="en-US"/>
        </w:rPr>
      </w:pPr>
      <w:r w:rsidRPr="008F61E2">
        <w:rPr>
          <w:noProof/>
          <w:lang w:val="en-US"/>
        </w:rPr>
        <w:t xml:space="preserve">(66) </w:t>
      </w:r>
      <w:r w:rsidRPr="008F61E2">
        <w:rPr>
          <w:noProof/>
          <w:lang w:val="en-US"/>
        </w:rPr>
        <w:tab/>
        <w:t xml:space="preserve">Eyring, H. The Activated Complex in Chemical Reactions. </w:t>
      </w:r>
      <w:r w:rsidRPr="008F61E2">
        <w:rPr>
          <w:i/>
          <w:iCs/>
          <w:noProof/>
          <w:lang w:val="en-US"/>
        </w:rPr>
        <w:t>J. Chem. Phys.</w:t>
      </w:r>
      <w:r w:rsidRPr="008F61E2">
        <w:rPr>
          <w:noProof/>
          <w:lang w:val="en-US"/>
        </w:rPr>
        <w:t xml:space="preserve"> </w:t>
      </w:r>
      <w:r w:rsidRPr="008F61E2">
        <w:rPr>
          <w:b/>
          <w:bCs/>
          <w:noProof/>
          <w:lang w:val="en-US"/>
        </w:rPr>
        <w:t>1935</w:t>
      </w:r>
      <w:r w:rsidRPr="008F61E2">
        <w:rPr>
          <w:noProof/>
          <w:lang w:val="en-US"/>
        </w:rPr>
        <w:t xml:space="preserve">, </w:t>
      </w:r>
      <w:r w:rsidRPr="008F61E2">
        <w:rPr>
          <w:i/>
          <w:iCs/>
          <w:noProof/>
          <w:lang w:val="en-US"/>
        </w:rPr>
        <w:t>3</w:t>
      </w:r>
      <w:r w:rsidRPr="008F61E2">
        <w:rPr>
          <w:noProof/>
          <w:lang w:val="en-US"/>
        </w:rPr>
        <w:t>, 107–115.</w:t>
      </w:r>
    </w:p>
    <w:p w:rsidR="00227A92" w:rsidRPr="008F61E2" w:rsidRDefault="00227A92">
      <w:pPr>
        <w:pStyle w:val="NormalWeb"/>
        <w:ind w:left="640" w:hanging="640"/>
        <w:divId w:val="2086679128"/>
        <w:rPr>
          <w:noProof/>
          <w:lang w:val="en-US"/>
        </w:rPr>
      </w:pPr>
      <w:r w:rsidRPr="008F61E2">
        <w:rPr>
          <w:noProof/>
          <w:lang w:val="en-US"/>
        </w:rPr>
        <w:t xml:space="preserve">(67) </w:t>
      </w:r>
      <w:r w:rsidRPr="008F61E2">
        <w:rPr>
          <w:noProof/>
          <w:lang w:val="en-US"/>
        </w:rPr>
        <w:tab/>
        <w:t xml:space="preserve">Oesterhelt, F.; Rief, M.; Gaub, H. E. Single Molecule Force Spectroscopy by AFM Indicates Helical Structure of Poly ( Ethylene-Glycol ) in Water. </w:t>
      </w:r>
      <w:r w:rsidRPr="008F61E2">
        <w:rPr>
          <w:i/>
          <w:iCs/>
          <w:noProof/>
          <w:lang w:val="en-US"/>
        </w:rPr>
        <w:t>New J. Phys.</w:t>
      </w:r>
      <w:r w:rsidRPr="008F61E2">
        <w:rPr>
          <w:noProof/>
          <w:lang w:val="en-US"/>
        </w:rPr>
        <w:t xml:space="preserve"> </w:t>
      </w:r>
      <w:r w:rsidRPr="008F61E2">
        <w:rPr>
          <w:b/>
          <w:bCs/>
          <w:noProof/>
          <w:lang w:val="en-US"/>
        </w:rPr>
        <w:t>1999</w:t>
      </w:r>
      <w:r w:rsidRPr="008F61E2">
        <w:rPr>
          <w:noProof/>
          <w:lang w:val="en-US"/>
        </w:rPr>
        <w:t xml:space="preserve">, </w:t>
      </w:r>
      <w:r w:rsidRPr="008F61E2">
        <w:rPr>
          <w:i/>
          <w:iCs/>
          <w:noProof/>
          <w:lang w:val="en-US"/>
        </w:rPr>
        <w:t>1</w:t>
      </w:r>
      <w:r w:rsidRPr="008F61E2">
        <w:rPr>
          <w:noProof/>
          <w:lang w:val="en-US"/>
        </w:rPr>
        <w:t>, 6.1–6.11.</w:t>
      </w:r>
    </w:p>
    <w:p w:rsidR="00227A92" w:rsidRPr="008F61E2" w:rsidRDefault="00227A92">
      <w:pPr>
        <w:pStyle w:val="NormalWeb"/>
        <w:ind w:left="640" w:hanging="640"/>
        <w:divId w:val="2086679128"/>
        <w:rPr>
          <w:noProof/>
          <w:lang w:val="en-US"/>
        </w:rPr>
      </w:pPr>
      <w:r w:rsidRPr="008F61E2">
        <w:rPr>
          <w:noProof/>
          <w:lang w:val="en-US"/>
        </w:rPr>
        <w:t xml:space="preserve">(68) </w:t>
      </w:r>
      <w:r w:rsidRPr="008F61E2">
        <w:rPr>
          <w:noProof/>
          <w:lang w:val="en-US"/>
        </w:rPr>
        <w:tab/>
        <w:t xml:space="preserve">Walczak, M.; Popenoe, D. D.; Deinhammer, R. S.; Lamp, B. D.; Chung, C.; Porter, M. D. Reductive Desorption of Alkanethiolate Monolayers at Gold: A Measure of Surface Coverage. </w:t>
      </w:r>
      <w:r w:rsidRPr="008F61E2">
        <w:rPr>
          <w:i/>
          <w:iCs/>
          <w:noProof/>
          <w:lang w:val="en-US"/>
        </w:rPr>
        <w:t>Langmuir</w:t>
      </w:r>
      <w:r w:rsidRPr="008F61E2">
        <w:rPr>
          <w:noProof/>
          <w:lang w:val="en-US"/>
        </w:rPr>
        <w:t xml:space="preserve"> </w:t>
      </w:r>
      <w:r w:rsidRPr="008F61E2">
        <w:rPr>
          <w:b/>
          <w:bCs/>
          <w:noProof/>
          <w:lang w:val="en-US"/>
        </w:rPr>
        <w:t>1991</w:t>
      </w:r>
      <w:r w:rsidRPr="008F61E2">
        <w:rPr>
          <w:noProof/>
          <w:lang w:val="en-US"/>
        </w:rPr>
        <w:t xml:space="preserve">, </w:t>
      </w:r>
      <w:r w:rsidR="00CE6248">
        <w:rPr>
          <w:noProof/>
          <w:lang w:val="en-US"/>
        </w:rPr>
        <w:t xml:space="preserve">7, </w:t>
      </w:r>
      <w:r w:rsidRPr="008F61E2">
        <w:rPr>
          <w:noProof/>
          <w:lang w:val="en-US"/>
        </w:rPr>
        <w:t>2687–2693.</w:t>
      </w:r>
    </w:p>
    <w:p w:rsidR="00227A92" w:rsidRPr="008F61E2" w:rsidRDefault="00227A92">
      <w:pPr>
        <w:pStyle w:val="NormalWeb"/>
        <w:ind w:left="640" w:hanging="640"/>
        <w:divId w:val="2086679128"/>
        <w:rPr>
          <w:noProof/>
          <w:lang w:val="en-US"/>
        </w:rPr>
      </w:pPr>
      <w:r w:rsidRPr="008F61E2">
        <w:rPr>
          <w:noProof/>
          <w:lang w:val="en-US"/>
        </w:rPr>
        <w:t xml:space="preserve">(69) </w:t>
      </w:r>
      <w:r w:rsidRPr="008F61E2">
        <w:rPr>
          <w:noProof/>
          <w:lang w:val="en-US"/>
        </w:rPr>
        <w:tab/>
        <w:t xml:space="preserve">Widrig, A.; Porter, M. D. The Electrochemical Desorption of N-Alkanethiol from Polycrystalline Au and Ag Electrodes Monolayers. </w:t>
      </w:r>
      <w:r w:rsidRPr="008F61E2">
        <w:rPr>
          <w:i/>
          <w:iCs/>
          <w:noProof/>
          <w:lang w:val="en-US"/>
        </w:rPr>
        <w:t>J. Electroanal. Chem.</w:t>
      </w:r>
      <w:r w:rsidRPr="008F61E2">
        <w:rPr>
          <w:noProof/>
          <w:lang w:val="en-US"/>
        </w:rPr>
        <w:t xml:space="preserve"> </w:t>
      </w:r>
      <w:r w:rsidRPr="008F61E2">
        <w:rPr>
          <w:b/>
          <w:bCs/>
          <w:noProof/>
          <w:lang w:val="en-US"/>
        </w:rPr>
        <w:t>1991</w:t>
      </w:r>
      <w:r w:rsidRPr="008F61E2">
        <w:rPr>
          <w:noProof/>
          <w:lang w:val="en-US"/>
        </w:rPr>
        <w:t xml:space="preserve">, </w:t>
      </w:r>
      <w:r w:rsidRPr="008F61E2">
        <w:rPr>
          <w:i/>
          <w:iCs/>
          <w:noProof/>
          <w:lang w:val="en-US"/>
        </w:rPr>
        <w:t>310</w:t>
      </w:r>
      <w:r w:rsidRPr="008F61E2">
        <w:rPr>
          <w:noProof/>
          <w:lang w:val="en-US"/>
        </w:rPr>
        <w:t>, 335–359.</w:t>
      </w:r>
    </w:p>
    <w:p w:rsidR="00227A92" w:rsidRPr="008F61E2" w:rsidRDefault="00227A92">
      <w:pPr>
        <w:pStyle w:val="NormalWeb"/>
        <w:ind w:left="640" w:hanging="640"/>
        <w:divId w:val="2086679128"/>
        <w:rPr>
          <w:noProof/>
          <w:lang w:val="en-US"/>
        </w:rPr>
      </w:pPr>
      <w:r w:rsidRPr="008F61E2">
        <w:rPr>
          <w:noProof/>
          <w:lang w:val="en-US"/>
        </w:rPr>
        <w:t xml:space="preserve">(70) </w:t>
      </w:r>
      <w:r w:rsidRPr="008F61E2">
        <w:rPr>
          <w:noProof/>
          <w:lang w:val="en-US"/>
        </w:rPr>
        <w:tab/>
        <w:t xml:space="preserve">Campana, A.; Cramer, T.; Greco, P.; Foschi, G.; Murgia, M.; Biscarini, F. Facile Maskless Fabrication of Organic Field Effect Transistors on Biodegradable Substrates. </w:t>
      </w:r>
      <w:r w:rsidRPr="008F61E2">
        <w:rPr>
          <w:i/>
          <w:iCs/>
          <w:noProof/>
          <w:lang w:val="en-US"/>
        </w:rPr>
        <w:t>Appl. Phys. Lett.</w:t>
      </w:r>
      <w:r w:rsidRPr="008F61E2">
        <w:rPr>
          <w:noProof/>
          <w:lang w:val="en-US"/>
        </w:rPr>
        <w:t xml:space="preserve"> </w:t>
      </w:r>
      <w:r w:rsidRPr="008F61E2">
        <w:rPr>
          <w:b/>
          <w:bCs/>
          <w:noProof/>
          <w:lang w:val="en-US"/>
        </w:rPr>
        <w:t>2013</w:t>
      </w:r>
      <w:r w:rsidRPr="008F61E2">
        <w:rPr>
          <w:noProof/>
          <w:lang w:val="en-US"/>
        </w:rPr>
        <w:t xml:space="preserve">, </w:t>
      </w:r>
      <w:r w:rsidRPr="008F61E2">
        <w:rPr>
          <w:i/>
          <w:iCs/>
          <w:noProof/>
          <w:lang w:val="en-US"/>
        </w:rPr>
        <w:t>103</w:t>
      </w:r>
      <w:r w:rsidRPr="008F61E2">
        <w:rPr>
          <w:noProof/>
          <w:lang w:val="en-US"/>
        </w:rPr>
        <w:t>, 073302.</w:t>
      </w:r>
    </w:p>
    <w:p w:rsidR="00227A92" w:rsidRPr="008F61E2" w:rsidRDefault="00227A92">
      <w:pPr>
        <w:pStyle w:val="NormalWeb"/>
        <w:ind w:left="640" w:hanging="640"/>
        <w:divId w:val="2086679128"/>
        <w:rPr>
          <w:noProof/>
          <w:lang w:val="en-US"/>
        </w:rPr>
      </w:pPr>
      <w:r w:rsidRPr="008F61E2">
        <w:rPr>
          <w:noProof/>
          <w:lang w:val="en-US"/>
        </w:rPr>
        <w:t xml:space="preserve">(71) </w:t>
      </w:r>
      <w:r w:rsidRPr="008F61E2">
        <w:rPr>
          <w:noProof/>
          <w:lang w:val="en-US"/>
        </w:rPr>
        <w:tab/>
        <w:t xml:space="preserve">Casalini, S.; Shehu, A.; Destri, S.; Porzio, W.; Pasini, M. C.; Vignali, F.; Borgatti, F.; Albonetti, C.; Leonardi, F.; Biscarini, F. Organic Field-Effect Transistors as New Paradigm for Large-Area Molecular Junctions. </w:t>
      </w:r>
      <w:r w:rsidRPr="008F61E2">
        <w:rPr>
          <w:i/>
          <w:iCs/>
          <w:noProof/>
          <w:lang w:val="en-US"/>
        </w:rPr>
        <w:t>Org. Electron.</w:t>
      </w:r>
      <w:r w:rsidRPr="008F61E2">
        <w:rPr>
          <w:noProof/>
          <w:lang w:val="en-US"/>
        </w:rPr>
        <w:t xml:space="preserve"> </w:t>
      </w:r>
      <w:r w:rsidRPr="008F61E2">
        <w:rPr>
          <w:b/>
          <w:bCs/>
          <w:noProof/>
          <w:lang w:val="en-US"/>
        </w:rPr>
        <w:t>2012</w:t>
      </w:r>
      <w:r w:rsidRPr="008F61E2">
        <w:rPr>
          <w:noProof/>
          <w:lang w:val="en-US"/>
        </w:rPr>
        <w:t xml:space="preserve">, </w:t>
      </w:r>
      <w:r w:rsidRPr="008F61E2">
        <w:rPr>
          <w:i/>
          <w:iCs/>
          <w:noProof/>
          <w:lang w:val="en-US"/>
        </w:rPr>
        <w:t>13</w:t>
      </w:r>
      <w:r w:rsidRPr="008F61E2">
        <w:rPr>
          <w:noProof/>
          <w:lang w:val="en-US"/>
        </w:rPr>
        <w:t>, 789–795.</w:t>
      </w:r>
    </w:p>
    <w:p w:rsidR="00227A92" w:rsidRPr="008F61E2" w:rsidRDefault="00227A92">
      <w:pPr>
        <w:pStyle w:val="NormalWeb"/>
        <w:ind w:left="640" w:hanging="640"/>
        <w:divId w:val="2086679128"/>
        <w:rPr>
          <w:noProof/>
          <w:lang w:val="en-US"/>
        </w:rPr>
      </w:pPr>
      <w:r w:rsidRPr="008F61E2">
        <w:rPr>
          <w:noProof/>
          <w:lang w:val="en-US"/>
        </w:rPr>
        <w:t xml:space="preserve">(72) </w:t>
      </w:r>
      <w:r w:rsidRPr="008F61E2">
        <w:rPr>
          <w:noProof/>
          <w:lang w:val="en-US"/>
        </w:rPr>
        <w:tab/>
        <w:t xml:space="preserve">Garcıa, R.; San Paulo, A. Attractive and Repulsive Tip-Sample Interaction Regimes in Tapping-Mode Atomic Force Microscopy. </w:t>
      </w:r>
      <w:r w:rsidRPr="008F61E2">
        <w:rPr>
          <w:i/>
          <w:iCs/>
          <w:noProof/>
          <w:lang w:val="en-US"/>
        </w:rPr>
        <w:t>Phys. Rev. B</w:t>
      </w:r>
      <w:r w:rsidRPr="008F61E2">
        <w:rPr>
          <w:noProof/>
          <w:lang w:val="en-US"/>
        </w:rPr>
        <w:t xml:space="preserve"> </w:t>
      </w:r>
      <w:r w:rsidRPr="008F61E2">
        <w:rPr>
          <w:b/>
          <w:bCs/>
          <w:noProof/>
          <w:lang w:val="en-US"/>
        </w:rPr>
        <w:t>1999</w:t>
      </w:r>
      <w:r w:rsidRPr="008F61E2">
        <w:rPr>
          <w:noProof/>
          <w:lang w:val="en-US"/>
        </w:rPr>
        <w:t xml:space="preserve">, </w:t>
      </w:r>
      <w:r w:rsidRPr="008F61E2">
        <w:rPr>
          <w:i/>
          <w:iCs/>
          <w:noProof/>
          <w:lang w:val="en-US"/>
        </w:rPr>
        <w:t>60</w:t>
      </w:r>
      <w:r w:rsidRPr="008F61E2">
        <w:rPr>
          <w:noProof/>
          <w:lang w:val="en-US"/>
        </w:rPr>
        <w:t>, 4961–4967.</w:t>
      </w:r>
    </w:p>
    <w:p w:rsidR="00227A92" w:rsidRPr="008F61E2" w:rsidRDefault="00227A92">
      <w:pPr>
        <w:pStyle w:val="NormalWeb"/>
        <w:ind w:left="640" w:hanging="640"/>
        <w:divId w:val="2086679128"/>
        <w:rPr>
          <w:noProof/>
          <w:lang w:val="en-US"/>
        </w:rPr>
      </w:pPr>
      <w:r w:rsidRPr="008F61E2">
        <w:rPr>
          <w:noProof/>
          <w:lang w:val="en-US"/>
        </w:rPr>
        <w:t xml:space="preserve">(73) </w:t>
      </w:r>
      <w:r w:rsidRPr="008F61E2">
        <w:rPr>
          <w:noProof/>
          <w:lang w:val="en-US"/>
        </w:rPr>
        <w:tab/>
        <w:t xml:space="preserve">Herruzo, E. T.; Garcia, R. Frequency Response of an Atomic Force Microscope in Liquids and Air: Magnetic </w:t>
      </w:r>
      <w:r w:rsidRPr="00914FD0">
        <w:rPr>
          <w:i/>
          <w:noProof/>
          <w:lang w:val="en-US"/>
        </w:rPr>
        <w:t>versus</w:t>
      </w:r>
      <w:r w:rsidRPr="008F61E2">
        <w:rPr>
          <w:noProof/>
          <w:lang w:val="en-US"/>
        </w:rPr>
        <w:t xml:space="preserve"> Acoustic Excitation. </w:t>
      </w:r>
      <w:r w:rsidRPr="008F61E2">
        <w:rPr>
          <w:i/>
          <w:iCs/>
          <w:noProof/>
          <w:lang w:val="en-US"/>
        </w:rPr>
        <w:t>Appl. Phys. Lett.</w:t>
      </w:r>
      <w:r w:rsidRPr="008F61E2">
        <w:rPr>
          <w:noProof/>
          <w:lang w:val="en-US"/>
        </w:rPr>
        <w:t xml:space="preserve"> </w:t>
      </w:r>
      <w:r w:rsidRPr="008F61E2">
        <w:rPr>
          <w:b/>
          <w:bCs/>
          <w:noProof/>
          <w:lang w:val="en-US"/>
        </w:rPr>
        <w:t>2007</w:t>
      </w:r>
      <w:r w:rsidRPr="008F61E2">
        <w:rPr>
          <w:noProof/>
          <w:lang w:val="en-US"/>
        </w:rPr>
        <w:t xml:space="preserve">, </w:t>
      </w:r>
      <w:r w:rsidRPr="008F61E2">
        <w:rPr>
          <w:i/>
          <w:iCs/>
          <w:noProof/>
          <w:lang w:val="en-US"/>
        </w:rPr>
        <w:t>91</w:t>
      </w:r>
      <w:r w:rsidRPr="008F61E2">
        <w:rPr>
          <w:noProof/>
          <w:lang w:val="en-US"/>
        </w:rPr>
        <w:t>, 143113.</w:t>
      </w:r>
    </w:p>
    <w:p w:rsidR="00227A92" w:rsidRPr="00227A92" w:rsidRDefault="00227A92">
      <w:pPr>
        <w:pStyle w:val="NormalWeb"/>
        <w:ind w:left="640" w:hanging="640"/>
        <w:divId w:val="2086679128"/>
        <w:rPr>
          <w:noProof/>
        </w:rPr>
      </w:pPr>
      <w:r w:rsidRPr="008F61E2">
        <w:rPr>
          <w:noProof/>
          <w:lang w:val="en-US"/>
        </w:rPr>
        <w:t xml:space="preserve">(74) </w:t>
      </w:r>
      <w:r w:rsidRPr="008F61E2">
        <w:rPr>
          <w:noProof/>
          <w:lang w:val="en-US"/>
        </w:rPr>
        <w:tab/>
        <w:t xml:space="preserve">Butt, H.-J.; Jaschke, M. Calculation of Thermal Noise in Atomic Force Microscopy. </w:t>
      </w:r>
      <w:r w:rsidRPr="00227A92">
        <w:rPr>
          <w:i/>
          <w:iCs/>
          <w:noProof/>
        </w:rPr>
        <w:t>Nanotechnology</w:t>
      </w:r>
      <w:r w:rsidRPr="00227A92">
        <w:rPr>
          <w:noProof/>
        </w:rPr>
        <w:t xml:space="preserve"> </w:t>
      </w:r>
      <w:r w:rsidRPr="00227A92">
        <w:rPr>
          <w:b/>
          <w:bCs/>
          <w:noProof/>
        </w:rPr>
        <w:t>1995</w:t>
      </w:r>
      <w:r w:rsidRPr="00227A92">
        <w:rPr>
          <w:noProof/>
        </w:rPr>
        <w:t xml:space="preserve">, </w:t>
      </w:r>
      <w:r w:rsidRPr="00227A92">
        <w:rPr>
          <w:i/>
          <w:iCs/>
          <w:noProof/>
        </w:rPr>
        <w:t>6</w:t>
      </w:r>
      <w:r w:rsidRPr="00227A92">
        <w:rPr>
          <w:noProof/>
        </w:rPr>
        <w:t xml:space="preserve">, 1–7. </w:t>
      </w:r>
    </w:p>
    <w:p w:rsidR="008C592C" w:rsidRPr="007315D1" w:rsidRDefault="00B43940" w:rsidP="007315D1">
      <w:pPr>
        <w:pStyle w:val="NormalWeb"/>
        <w:ind w:left="640" w:hanging="640"/>
        <w:divId w:val="1903559472"/>
        <w:rPr>
          <w:lang w:val="en-US"/>
        </w:rPr>
      </w:pPr>
      <w:r w:rsidRPr="00B40EB2">
        <w:rPr>
          <w:lang w:val="en-US"/>
        </w:rPr>
        <w:fldChar w:fldCharType="end"/>
      </w:r>
    </w:p>
    <w:sectPr w:rsidR="008C592C" w:rsidRPr="007315D1" w:rsidSect="00B50186">
      <w:footerReference w:type="default" r:id="rId34"/>
      <w:pgSz w:w="12240" w:h="15840"/>
      <w:pgMar w:top="1440" w:right="1440" w:bottom="1440" w:left="1440" w:header="720"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1B0" w:rsidRDefault="00F011B0">
      <w:pPr>
        <w:spacing w:after="0"/>
      </w:pPr>
      <w:r>
        <w:separator/>
      </w:r>
    </w:p>
  </w:endnote>
  <w:endnote w:type="continuationSeparator" w:id="0">
    <w:p w:rsidR="00F011B0" w:rsidRDefault="00F011B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Arno Pro">
    <w:charset w:val="01"/>
    <w:family w:val="roman"/>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DejaVu Sans">
    <w:altName w:val="Times New Roman"/>
    <w:charset w:val="00"/>
    <w:family w:val="swiss"/>
    <w:pitch w:val="variable"/>
    <w:sig w:usb0="E7002EFF" w:usb1="D200FDFF" w:usb2="0A246029" w:usb3="00000000" w:csb0="000001FF" w:csb1="00000000"/>
  </w:font>
  <w:font w:name="Lohit Hindi">
    <w:altName w:val="MS Mincho"/>
    <w:charset w:val="80"/>
    <w:family w:val="auto"/>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38D" w:rsidRDefault="00B43940">
    <w:r>
      <w:fldChar w:fldCharType="begin"/>
    </w:r>
    <w:r w:rsidR="0086338D">
      <w:instrText xml:space="preserve"> PAGE </w:instrText>
    </w:r>
    <w:r>
      <w:fldChar w:fldCharType="separate"/>
    </w:r>
    <w:r w:rsidR="00654396">
      <w:rPr>
        <w:noProof/>
      </w:rPr>
      <w:t>1</w:t>
    </w:r>
    <w:r>
      <w:rPr>
        <w:noProof/>
      </w:rPr>
      <w:fldChar w:fldCharType="end"/>
    </w:r>
  </w:p>
  <w:p w:rsidR="0086338D" w:rsidRDefault="0086338D">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1B0" w:rsidRDefault="00F011B0">
      <w:pPr>
        <w:spacing w:after="0"/>
      </w:pPr>
      <w:r>
        <w:separator/>
      </w:r>
    </w:p>
  </w:footnote>
  <w:footnote w:type="continuationSeparator" w:id="0">
    <w:p w:rsidR="00F011B0" w:rsidRDefault="00F011B0">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89C60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name w:val="WW8Num1"/>
    <w:lvl w:ilvl="0">
      <w:start w:val="1"/>
      <w:numFmt w:val="decimal"/>
      <w:lvlText w:val="%1."/>
      <w:lvlJc w:val="left"/>
      <w:pPr>
        <w:tabs>
          <w:tab w:val="num" w:pos="360"/>
        </w:tabs>
        <w:ind w:left="360" w:hanging="360"/>
      </w:pPr>
      <w:rPr>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2"/>
    <w:multiLevelType w:val="multilevel"/>
    <w:tmpl w:val="00000002"/>
    <w:name w:val="WW8Num2"/>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3D63980"/>
    <w:multiLevelType w:val="hybridMultilevel"/>
    <w:tmpl w:val="FE2C9F92"/>
    <w:lvl w:ilvl="0" w:tplc="B180FF7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embedSystemFont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r2deswevv9059epaa2xzaeoztt2tdzvx2t2&quot;&gt;My EndNote Library&lt;record-ids&gt;&lt;item&gt;19&lt;/item&gt;&lt;item&gt;90&lt;/item&gt;&lt;item&gt;95&lt;/item&gt;&lt;item&gt;104&lt;/item&gt;&lt;item&gt;114&lt;/item&gt;&lt;item&gt;115&lt;/item&gt;&lt;item&gt;117&lt;/item&gt;&lt;item&gt;118&lt;/item&gt;&lt;item&gt;119&lt;/item&gt;&lt;item&gt;120&lt;/item&gt;&lt;/record-ids&gt;&lt;/item&gt;&lt;/Libraries&gt;"/>
  </w:docVars>
  <w:rsids>
    <w:rsidRoot w:val="008535DE"/>
    <w:rsid w:val="00002F0B"/>
    <w:rsid w:val="00004B71"/>
    <w:rsid w:val="00010C55"/>
    <w:rsid w:val="00013E2F"/>
    <w:rsid w:val="00023E7D"/>
    <w:rsid w:val="00024673"/>
    <w:rsid w:val="00026930"/>
    <w:rsid w:val="00027B66"/>
    <w:rsid w:val="00027DA6"/>
    <w:rsid w:val="000300B5"/>
    <w:rsid w:val="000331D1"/>
    <w:rsid w:val="000344CE"/>
    <w:rsid w:val="00036C65"/>
    <w:rsid w:val="00037D06"/>
    <w:rsid w:val="000407D0"/>
    <w:rsid w:val="000430B8"/>
    <w:rsid w:val="00044166"/>
    <w:rsid w:val="00047C80"/>
    <w:rsid w:val="000513C3"/>
    <w:rsid w:val="00051413"/>
    <w:rsid w:val="00053FC4"/>
    <w:rsid w:val="00054369"/>
    <w:rsid w:val="00056969"/>
    <w:rsid w:val="00056ECF"/>
    <w:rsid w:val="00060F2D"/>
    <w:rsid w:val="000725C3"/>
    <w:rsid w:val="00072CD1"/>
    <w:rsid w:val="00072EC6"/>
    <w:rsid w:val="00076C4E"/>
    <w:rsid w:val="00085B4E"/>
    <w:rsid w:val="00086121"/>
    <w:rsid w:val="00091720"/>
    <w:rsid w:val="000965C3"/>
    <w:rsid w:val="000A3FC4"/>
    <w:rsid w:val="000A45CA"/>
    <w:rsid w:val="000A4758"/>
    <w:rsid w:val="000A5C44"/>
    <w:rsid w:val="000B09BE"/>
    <w:rsid w:val="000B18CD"/>
    <w:rsid w:val="000B2690"/>
    <w:rsid w:val="000C152F"/>
    <w:rsid w:val="000D18A4"/>
    <w:rsid w:val="000D1C3A"/>
    <w:rsid w:val="000D48EA"/>
    <w:rsid w:val="000D6D37"/>
    <w:rsid w:val="000E0872"/>
    <w:rsid w:val="000E25E4"/>
    <w:rsid w:val="000E7C3F"/>
    <w:rsid w:val="000F04B9"/>
    <w:rsid w:val="000F453F"/>
    <w:rsid w:val="000F7FE9"/>
    <w:rsid w:val="001004C2"/>
    <w:rsid w:val="00110FB2"/>
    <w:rsid w:val="001112A5"/>
    <w:rsid w:val="00116045"/>
    <w:rsid w:val="00116745"/>
    <w:rsid w:val="001212FE"/>
    <w:rsid w:val="00123B15"/>
    <w:rsid w:val="00124F58"/>
    <w:rsid w:val="00125335"/>
    <w:rsid w:val="00126CFE"/>
    <w:rsid w:val="00130060"/>
    <w:rsid w:val="0013070B"/>
    <w:rsid w:val="00132587"/>
    <w:rsid w:val="00133268"/>
    <w:rsid w:val="001338E1"/>
    <w:rsid w:val="00134AFB"/>
    <w:rsid w:val="00134B83"/>
    <w:rsid w:val="00140EDA"/>
    <w:rsid w:val="0014179F"/>
    <w:rsid w:val="00144CB6"/>
    <w:rsid w:val="001478DC"/>
    <w:rsid w:val="001537CD"/>
    <w:rsid w:val="00155870"/>
    <w:rsid w:val="0015744B"/>
    <w:rsid w:val="00160080"/>
    <w:rsid w:val="00176EC1"/>
    <w:rsid w:val="00183764"/>
    <w:rsid w:val="00184F7B"/>
    <w:rsid w:val="00186154"/>
    <w:rsid w:val="0019281A"/>
    <w:rsid w:val="0019377A"/>
    <w:rsid w:val="001A164A"/>
    <w:rsid w:val="001A3410"/>
    <w:rsid w:val="001B191D"/>
    <w:rsid w:val="001B378C"/>
    <w:rsid w:val="001B3871"/>
    <w:rsid w:val="001B68C5"/>
    <w:rsid w:val="001C218F"/>
    <w:rsid w:val="001C232A"/>
    <w:rsid w:val="001C2ABF"/>
    <w:rsid w:val="001C57B7"/>
    <w:rsid w:val="001C7C36"/>
    <w:rsid w:val="001D275D"/>
    <w:rsid w:val="001D7327"/>
    <w:rsid w:val="001E0C65"/>
    <w:rsid w:val="001E2984"/>
    <w:rsid w:val="001E3504"/>
    <w:rsid w:val="001E453D"/>
    <w:rsid w:val="001E46CA"/>
    <w:rsid w:val="001E6D98"/>
    <w:rsid w:val="001F0025"/>
    <w:rsid w:val="001F0B2A"/>
    <w:rsid w:val="001F465D"/>
    <w:rsid w:val="001F7D90"/>
    <w:rsid w:val="002005AB"/>
    <w:rsid w:val="00212AA4"/>
    <w:rsid w:val="00214179"/>
    <w:rsid w:val="00220159"/>
    <w:rsid w:val="0022079B"/>
    <w:rsid w:val="0022705B"/>
    <w:rsid w:val="00227A92"/>
    <w:rsid w:val="002324B6"/>
    <w:rsid w:val="00233F7F"/>
    <w:rsid w:val="00233FD3"/>
    <w:rsid w:val="00234D1C"/>
    <w:rsid w:val="00235195"/>
    <w:rsid w:val="002351D3"/>
    <w:rsid w:val="00235A39"/>
    <w:rsid w:val="00237492"/>
    <w:rsid w:val="00240112"/>
    <w:rsid w:val="00244142"/>
    <w:rsid w:val="00244643"/>
    <w:rsid w:val="00245A81"/>
    <w:rsid w:val="00251FF5"/>
    <w:rsid w:val="002553D6"/>
    <w:rsid w:val="002610B4"/>
    <w:rsid w:val="00265B68"/>
    <w:rsid w:val="0026677C"/>
    <w:rsid w:val="00274EF9"/>
    <w:rsid w:val="002807D2"/>
    <w:rsid w:val="00285EBA"/>
    <w:rsid w:val="002901B3"/>
    <w:rsid w:val="00292FF2"/>
    <w:rsid w:val="002A08E4"/>
    <w:rsid w:val="002A336B"/>
    <w:rsid w:val="002A40E9"/>
    <w:rsid w:val="002A500C"/>
    <w:rsid w:val="002A62C4"/>
    <w:rsid w:val="002A6A51"/>
    <w:rsid w:val="002B36E5"/>
    <w:rsid w:val="002B56B5"/>
    <w:rsid w:val="002C1527"/>
    <w:rsid w:val="002C2E10"/>
    <w:rsid w:val="002C490B"/>
    <w:rsid w:val="002C5A18"/>
    <w:rsid w:val="002C5A55"/>
    <w:rsid w:val="002C5AAD"/>
    <w:rsid w:val="002C6E1E"/>
    <w:rsid w:val="002C74C8"/>
    <w:rsid w:val="002D5849"/>
    <w:rsid w:val="002D7C5B"/>
    <w:rsid w:val="002E07CB"/>
    <w:rsid w:val="002E64E1"/>
    <w:rsid w:val="002E6EB8"/>
    <w:rsid w:val="002F35F9"/>
    <w:rsid w:val="002F3C59"/>
    <w:rsid w:val="002F6FBB"/>
    <w:rsid w:val="003019CB"/>
    <w:rsid w:val="003064E1"/>
    <w:rsid w:val="00311599"/>
    <w:rsid w:val="003128C1"/>
    <w:rsid w:val="003219B8"/>
    <w:rsid w:val="00323256"/>
    <w:rsid w:val="0032356E"/>
    <w:rsid w:val="003238FE"/>
    <w:rsid w:val="0032514B"/>
    <w:rsid w:val="00325811"/>
    <w:rsid w:val="003357D8"/>
    <w:rsid w:val="003400ED"/>
    <w:rsid w:val="00342394"/>
    <w:rsid w:val="003424E0"/>
    <w:rsid w:val="00342719"/>
    <w:rsid w:val="00352BC4"/>
    <w:rsid w:val="00354C5E"/>
    <w:rsid w:val="00357516"/>
    <w:rsid w:val="003615D1"/>
    <w:rsid w:val="00364908"/>
    <w:rsid w:val="00365088"/>
    <w:rsid w:val="0036631E"/>
    <w:rsid w:val="00370021"/>
    <w:rsid w:val="003762AF"/>
    <w:rsid w:val="00376C5F"/>
    <w:rsid w:val="00380DBA"/>
    <w:rsid w:val="00392046"/>
    <w:rsid w:val="00392305"/>
    <w:rsid w:val="003939CC"/>
    <w:rsid w:val="00396203"/>
    <w:rsid w:val="003A11A4"/>
    <w:rsid w:val="003A168D"/>
    <w:rsid w:val="003A402E"/>
    <w:rsid w:val="003A7601"/>
    <w:rsid w:val="003B277B"/>
    <w:rsid w:val="003B5C0F"/>
    <w:rsid w:val="003B5E61"/>
    <w:rsid w:val="003C72DD"/>
    <w:rsid w:val="003D7418"/>
    <w:rsid w:val="003E5622"/>
    <w:rsid w:val="003E7AA4"/>
    <w:rsid w:val="003F313D"/>
    <w:rsid w:val="00401264"/>
    <w:rsid w:val="00401693"/>
    <w:rsid w:val="00403338"/>
    <w:rsid w:val="00404BB8"/>
    <w:rsid w:val="004166AF"/>
    <w:rsid w:val="0042047B"/>
    <w:rsid w:val="004226D4"/>
    <w:rsid w:val="0042523C"/>
    <w:rsid w:val="004307E5"/>
    <w:rsid w:val="00430951"/>
    <w:rsid w:val="00431BD1"/>
    <w:rsid w:val="00432674"/>
    <w:rsid w:val="0043358E"/>
    <w:rsid w:val="00435B5A"/>
    <w:rsid w:val="00437AD7"/>
    <w:rsid w:val="00437CBC"/>
    <w:rsid w:val="0044428A"/>
    <w:rsid w:val="0044558A"/>
    <w:rsid w:val="00446449"/>
    <w:rsid w:val="0045311F"/>
    <w:rsid w:val="0045399F"/>
    <w:rsid w:val="00465E0B"/>
    <w:rsid w:val="00473AA9"/>
    <w:rsid w:val="00474E27"/>
    <w:rsid w:val="00474E2A"/>
    <w:rsid w:val="00475F78"/>
    <w:rsid w:val="004764EC"/>
    <w:rsid w:val="004839B1"/>
    <w:rsid w:val="0048461B"/>
    <w:rsid w:val="0048463E"/>
    <w:rsid w:val="00491B0E"/>
    <w:rsid w:val="0049209A"/>
    <w:rsid w:val="004A3DF9"/>
    <w:rsid w:val="004B0230"/>
    <w:rsid w:val="004B3006"/>
    <w:rsid w:val="004B525F"/>
    <w:rsid w:val="004B7FA3"/>
    <w:rsid w:val="004C1C60"/>
    <w:rsid w:val="004C313E"/>
    <w:rsid w:val="004C4B4B"/>
    <w:rsid w:val="004C5319"/>
    <w:rsid w:val="004C64EA"/>
    <w:rsid w:val="004D22A3"/>
    <w:rsid w:val="004D5B73"/>
    <w:rsid w:val="004E03AC"/>
    <w:rsid w:val="004E29AE"/>
    <w:rsid w:val="004E745F"/>
    <w:rsid w:val="004E747B"/>
    <w:rsid w:val="004E76E1"/>
    <w:rsid w:val="004E76FD"/>
    <w:rsid w:val="004F2596"/>
    <w:rsid w:val="004F3F9C"/>
    <w:rsid w:val="004F5851"/>
    <w:rsid w:val="00500EBD"/>
    <w:rsid w:val="00501119"/>
    <w:rsid w:val="005028E3"/>
    <w:rsid w:val="0051325C"/>
    <w:rsid w:val="00513750"/>
    <w:rsid w:val="00513D11"/>
    <w:rsid w:val="0051708D"/>
    <w:rsid w:val="00520515"/>
    <w:rsid w:val="0052067F"/>
    <w:rsid w:val="00522C9E"/>
    <w:rsid w:val="00531156"/>
    <w:rsid w:val="005345D6"/>
    <w:rsid w:val="005346F1"/>
    <w:rsid w:val="00541955"/>
    <w:rsid w:val="00541985"/>
    <w:rsid w:val="0054228F"/>
    <w:rsid w:val="00543845"/>
    <w:rsid w:val="0054711B"/>
    <w:rsid w:val="00550A11"/>
    <w:rsid w:val="0055670B"/>
    <w:rsid w:val="005604A8"/>
    <w:rsid w:val="00562FAC"/>
    <w:rsid w:val="00571C8E"/>
    <w:rsid w:val="0057322B"/>
    <w:rsid w:val="00573D28"/>
    <w:rsid w:val="00581120"/>
    <w:rsid w:val="00583470"/>
    <w:rsid w:val="00583BBD"/>
    <w:rsid w:val="00584070"/>
    <w:rsid w:val="00585E06"/>
    <w:rsid w:val="005949A2"/>
    <w:rsid w:val="005A3DBA"/>
    <w:rsid w:val="005A5F28"/>
    <w:rsid w:val="005A5F4A"/>
    <w:rsid w:val="005B33C9"/>
    <w:rsid w:val="005C2EB0"/>
    <w:rsid w:val="005C59F1"/>
    <w:rsid w:val="005C5A1A"/>
    <w:rsid w:val="005D1CC6"/>
    <w:rsid w:val="005E1160"/>
    <w:rsid w:val="005E1A15"/>
    <w:rsid w:val="005F1F4B"/>
    <w:rsid w:val="005F22C5"/>
    <w:rsid w:val="005F5924"/>
    <w:rsid w:val="0060295E"/>
    <w:rsid w:val="00604310"/>
    <w:rsid w:val="00605649"/>
    <w:rsid w:val="00606BD2"/>
    <w:rsid w:val="00611A52"/>
    <w:rsid w:val="00612D30"/>
    <w:rsid w:val="00612F57"/>
    <w:rsid w:val="006162CF"/>
    <w:rsid w:val="006201C3"/>
    <w:rsid w:val="00624784"/>
    <w:rsid w:val="006257C8"/>
    <w:rsid w:val="00636F0D"/>
    <w:rsid w:val="00643A06"/>
    <w:rsid w:val="00645956"/>
    <w:rsid w:val="00654396"/>
    <w:rsid w:val="00661631"/>
    <w:rsid w:val="006648D7"/>
    <w:rsid w:val="006649AF"/>
    <w:rsid w:val="006678AA"/>
    <w:rsid w:val="00670786"/>
    <w:rsid w:val="006767E6"/>
    <w:rsid w:val="00676E00"/>
    <w:rsid w:val="00677D2F"/>
    <w:rsid w:val="006800CE"/>
    <w:rsid w:val="00683259"/>
    <w:rsid w:val="00684530"/>
    <w:rsid w:val="0069124F"/>
    <w:rsid w:val="006924E0"/>
    <w:rsid w:val="00692813"/>
    <w:rsid w:val="006977AF"/>
    <w:rsid w:val="006A122B"/>
    <w:rsid w:val="006A6638"/>
    <w:rsid w:val="006B24AD"/>
    <w:rsid w:val="006B3013"/>
    <w:rsid w:val="006D09A5"/>
    <w:rsid w:val="006D1E7E"/>
    <w:rsid w:val="006D3F4F"/>
    <w:rsid w:val="006D60A7"/>
    <w:rsid w:val="006D792A"/>
    <w:rsid w:val="006E1B99"/>
    <w:rsid w:val="006E289F"/>
    <w:rsid w:val="006E3AD1"/>
    <w:rsid w:val="006E7B27"/>
    <w:rsid w:val="006F410D"/>
    <w:rsid w:val="006F5937"/>
    <w:rsid w:val="006F698F"/>
    <w:rsid w:val="006F6C41"/>
    <w:rsid w:val="00702B1A"/>
    <w:rsid w:val="00702E67"/>
    <w:rsid w:val="0070701F"/>
    <w:rsid w:val="00710816"/>
    <w:rsid w:val="00712F3F"/>
    <w:rsid w:val="00715699"/>
    <w:rsid w:val="00721039"/>
    <w:rsid w:val="007315D1"/>
    <w:rsid w:val="00735A13"/>
    <w:rsid w:val="00735CE0"/>
    <w:rsid w:val="00735FDA"/>
    <w:rsid w:val="00736252"/>
    <w:rsid w:val="007377CA"/>
    <w:rsid w:val="0073780B"/>
    <w:rsid w:val="00740D6D"/>
    <w:rsid w:val="00745AB3"/>
    <w:rsid w:val="00752ED6"/>
    <w:rsid w:val="00754B4F"/>
    <w:rsid w:val="00762F72"/>
    <w:rsid w:val="00767722"/>
    <w:rsid w:val="00770673"/>
    <w:rsid w:val="00770729"/>
    <w:rsid w:val="00771FBB"/>
    <w:rsid w:val="00773999"/>
    <w:rsid w:val="0078598F"/>
    <w:rsid w:val="00790873"/>
    <w:rsid w:val="0079302E"/>
    <w:rsid w:val="00793861"/>
    <w:rsid w:val="0079496D"/>
    <w:rsid w:val="007960B9"/>
    <w:rsid w:val="007A0484"/>
    <w:rsid w:val="007A4950"/>
    <w:rsid w:val="007A5BA3"/>
    <w:rsid w:val="007A660E"/>
    <w:rsid w:val="007B03F9"/>
    <w:rsid w:val="007B1B10"/>
    <w:rsid w:val="007B2C51"/>
    <w:rsid w:val="007B356F"/>
    <w:rsid w:val="007C175E"/>
    <w:rsid w:val="007C2DA9"/>
    <w:rsid w:val="007C53D7"/>
    <w:rsid w:val="007D4D7E"/>
    <w:rsid w:val="007D54DE"/>
    <w:rsid w:val="007D5C80"/>
    <w:rsid w:val="007D7425"/>
    <w:rsid w:val="007E1C5E"/>
    <w:rsid w:val="007E2ED3"/>
    <w:rsid w:val="007F16F4"/>
    <w:rsid w:val="007F1B15"/>
    <w:rsid w:val="008000FA"/>
    <w:rsid w:val="0080241B"/>
    <w:rsid w:val="00807094"/>
    <w:rsid w:val="00807F50"/>
    <w:rsid w:val="00816C87"/>
    <w:rsid w:val="00821029"/>
    <w:rsid w:val="008241E6"/>
    <w:rsid w:val="00830DCD"/>
    <w:rsid w:val="0083145F"/>
    <w:rsid w:val="00831850"/>
    <w:rsid w:val="00831E2C"/>
    <w:rsid w:val="0085121E"/>
    <w:rsid w:val="008535DE"/>
    <w:rsid w:val="00863172"/>
    <w:rsid w:val="0086338D"/>
    <w:rsid w:val="00863B07"/>
    <w:rsid w:val="00865F39"/>
    <w:rsid w:val="00866095"/>
    <w:rsid w:val="0087125E"/>
    <w:rsid w:val="00874453"/>
    <w:rsid w:val="008821B9"/>
    <w:rsid w:val="00883302"/>
    <w:rsid w:val="00883912"/>
    <w:rsid w:val="008951EB"/>
    <w:rsid w:val="00895852"/>
    <w:rsid w:val="00896F03"/>
    <w:rsid w:val="00896F22"/>
    <w:rsid w:val="008A2804"/>
    <w:rsid w:val="008A2A92"/>
    <w:rsid w:val="008A3966"/>
    <w:rsid w:val="008A4F42"/>
    <w:rsid w:val="008B1960"/>
    <w:rsid w:val="008B38BC"/>
    <w:rsid w:val="008B5068"/>
    <w:rsid w:val="008C19CD"/>
    <w:rsid w:val="008C31A3"/>
    <w:rsid w:val="008C50D9"/>
    <w:rsid w:val="008C592C"/>
    <w:rsid w:val="008C7832"/>
    <w:rsid w:val="008D6D27"/>
    <w:rsid w:val="008E2062"/>
    <w:rsid w:val="008E5A64"/>
    <w:rsid w:val="008E6B83"/>
    <w:rsid w:val="008E7827"/>
    <w:rsid w:val="008F0F9E"/>
    <w:rsid w:val="008F14D4"/>
    <w:rsid w:val="008F3A4B"/>
    <w:rsid w:val="008F55E8"/>
    <w:rsid w:val="008F5D4F"/>
    <w:rsid w:val="008F61E2"/>
    <w:rsid w:val="009074F1"/>
    <w:rsid w:val="00911042"/>
    <w:rsid w:val="00911866"/>
    <w:rsid w:val="00914FD0"/>
    <w:rsid w:val="00916FC9"/>
    <w:rsid w:val="009208A3"/>
    <w:rsid w:val="009232B2"/>
    <w:rsid w:val="0092453D"/>
    <w:rsid w:val="009409E4"/>
    <w:rsid w:val="009410CB"/>
    <w:rsid w:val="00942F98"/>
    <w:rsid w:val="00944319"/>
    <w:rsid w:val="00946585"/>
    <w:rsid w:val="0096229A"/>
    <w:rsid w:val="00966126"/>
    <w:rsid w:val="009769CF"/>
    <w:rsid w:val="00981331"/>
    <w:rsid w:val="00981954"/>
    <w:rsid w:val="00985B00"/>
    <w:rsid w:val="00986382"/>
    <w:rsid w:val="009866E0"/>
    <w:rsid w:val="00991B5A"/>
    <w:rsid w:val="0099264D"/>
    <w:rsid w:val="009931A5"/>
    <w:rsid w:val="00997AAC"/>
    <w:rsid w:val="009A22ED"/>
    <w:rsid w:val="009A2356"/>
    <w:rsid w:val="009A3A4B"/>
    <w:rsid w:val="009A4C13"/>
    <w:rsid w:val="009A51FE"/>
    <w:rsid w:val="009A6C50"/>
    <w:rsid w:val="009B1A5D"/>
    <w:rsid w:val="009B3ED3"/>
    <w:rsid w:val="009B55ED"/>
    <w:rsid w:val="009C6D9E"/>
    <w:rsid w:val="009C6E12"/>
    <w:rsid w:val="009D4130"/>
    <w:rsid w:val="009D5EFF"/>
    <w:rsid w:val="009E19A3"/>
    <w:rsid w:val="009E3299"/>
    <w:rsid w:val="009E370F"/>
    <w:rsid w:val="009E54B0"/>
    <w:rsid w:val="009F3828"/>
    <w:rsid w:val="009F7850"/>
    <w:rsid w:val="009F7A26"/>
    <w:rsid w:val="009F7F80"/>
    <w:rsid w:val="00A006FF"/>
    <w:rsid w:val="00A2295B"/>
    <w:rsid w:val="00A261D1"/>
    <w:rsid w:val="00A26C66"/>
    <w:rsid w:val="00A509BA"/>
    <w:rsid w:val="00A5792B"/>
    <w:rsid w:val="00A60626"/>
    <w:rsid w:val="00A65BA0"/>
    <w:rsid w:val="00A72C1A"/>
    <w:rsid w:val="00A8075F"/>
    <w:rsid w:val="00A86A60"/>
    <w:rsid w:val="00A87D6E"/>
    <w:rsid w:val="00A97DA3"/>
    <w:rsid w:val="00AA7AC3"/>
    <w:rsid w:val="00AB4585"/>
    <w:rsid w:val="00AB4B6B"/>
    <w:rsid w:val="00AB73BF"/>
    <w:rsid w:val="00AC0140"/>
    <w:rsid w:val="00AC1A09"/>
    <w:rsid w:val="00AC3A79"/>
    <w:rsid w:val="00AC486E"/>
    <w:rsid w:val="00AC4EB1"/>
    <w:rsid w:val="00AD56D5"/>
    <w:rsid w:val="00AD7AF8"/>
    <w:rsid w:val="00AE638B"/>
    <w:rsid w:val="00AE6A59"/>
    <w:rsid w:val="00AF3079"/>
    <w:rsid w:val="00B03164"/>
    <w:rsid w:val="00B33AAB"/>
    <w:rsid w:val="00B37905"/>
    <w:rsid w:val="00B40EB2"/>
    <w:rsid w:val="00B43940"/>
    <w:rsid w:val="00B46BC0"/>
    <w:rsid w:val="00B47267"/>
    <w:rsid w:val="00B50186"/>
    <w:rsid w:val="00B5078D"/>
    <w:rsid w:val="00B50C58"/>
    <w:rsid w:val="00B50D11"/>
    <w:rsid w:val="00B55874"/>
    <w:rsid w:val="00B6216F"/>
    <w:rsid w:val="00B62182"/>
    <w:rsid w:val="00B6556D"/>
    <w:rsid w:val="00B67151"/>
    <w:rsid w:val="00B770BD"/>
    <w:rsid w:val="00B94C70"/>
    <w:rsid w:val="00B96C54"/>
    <w:rsid w:val="00B97D64"/>
    <w:rsid w:val="00BA05B5"/>
    <w:rsid w:val="00BA1668"/>
    <w:rsid w:val="00BA2A18"/>
    <w:rsid w:val="00BA30C5"/>
    <w:rsid w:val="00BA3BC3"/>
    <w:rsid w:val="00BB0B45"/>
    <w:rsid w:val="00BB78B7"/>
    <w:rsid w:val="00BC10AD"/>
    <w:rsid w:val="00BC31AD"/>
    <w:rsid w:val="00BC7116"/>
    <w:rsid w:val="00BC7C70"/>
    <w:rsid w:val="00BD7B36"/>
    <w:rsid w:val="00BE02F4"/>
    <w:rsid w:val="00BE25E7"/>
    <w:rsid w:val="00BE7A46"/>
    <w:rsid w:val="00BF3377"/>
    <w:rsid w:val="00BF4A5A"/>
    <w:rsid w:val="00BF63E8"/>
    <w:rsid w:val="00BF789B"/>
    <w:rsid w:val="00C03A0A"/>
    <w:rsid w:val="00C210DF"/>
    <w:rsid w:val="00C22E80"/>
    <w:rsid w:val="00C23087"/>
    <w:rsid w:val="00C277F9"/>
    <w:rsid w:val="00C43FB3"/>
    <w:rsid w:val="00C562D4"/>
    <w:rsid w:val="00C604D0"/>
    <w:rsid w:val="00C72421"/>
    <w:rsid w:val="00C73310"/>
    <w:rsid w:val="00C739CA"/>
    <w:rsid w:val="00C77187"/>
    <w:rsid w:val="00C8598E"/>
    <w:rsid w:val="00C900C9"/>
    <w:rsid w:val="00C9123B"/>
    <w:rsid w:val="00C91DA4"/>
    <w:rsid w:val="00C93F0E"/>
    <w:rsid w:val="00C9484F"/>
    <w:rsid w:val="00C94DD0"/>
    <w:rsid w:val="00CA3106"/>
    <w:rsid w:val="00CA57B4"/>
    <w:rsid w:val="00CB4441"/>
    <w:rsid w:val="00CB44B9"/>
    <w:rsid w:val="00CB4C45"/>
    <w:rsid w:val="00CB510C"/>
    <w:rsid w:val="00CB7BE8"/>
    <w:rsid w:val="00CC3C7A"/>
    <w:rsid w:val="00CC498F"/>
    <w:rsid w:val="00CC7862"/>
    <w:rsid w:val="00CD12E1"/>
    <w:rsid w:val="00CD4001"/>
    <w:rsid w:val="00CD5C22"/>
    <w:rsid w:val="00CD7FF5"/>
    <w:rsid w:val="00CE123F"/>
    <w:rsid w:val="00CE6248"/>
    <w:rsid w:val="00CF23D6"/>
    <w:rsid w:val="00CF3315"/>
    <w:rsid w:val="00D01146"/>
    <w:rsid w:val="00D10327"/>
    <w:rsid w:val="00D11C39"/>
    <w:rsid w:val="00D1317A"/>
    <w:rsid w:val="00D13284"/>
    <w:rsid w:val="00D16724"/>
    <w:rsid w:val="00D30089"/>
    <w:rsid w:val="00D34915"/>
    <w:rsid w:val="00D4779F"/>
    <w:rsid w:val="00D50BDC"/>
    <w:rsid w:val="00D51639"/>
    <w:rsid w:val="00D576D0"/>
    <w:rsid w:val="00D57FF4"/>
    <w:rsid w:val="00D630DC"/>
    <w:rsid w:val="00D63A0C"/>
    <w:rsid w:val="00D64416"/>
    <w:rsid w:val="00D665B2"/>
    <w:rsid w:val="00D677DE"/>
    <w:rsid w:val="00D735BE"/>
    <w:rsid w:val="00D73BB3"/>
    <w:rsid w:val="00D80EC7"/>
    <w:rsid w:val="00D823CE"/>
    <w:rsid w:val="00D8795C"/>
    <w:rsid w:val="00D943C3"/>
    <w:rsid w:val="00D9564C"/>
    <w:rsid w:val="00D96BBB"/>
    <w:rsid w:val="00DA4ABF"/>
    <w:rsid w:val="00DB0D7C"/>
    <w:rsid w:val="00DB35F4"/>
    <w:rsid w:val="00DB36BB"/>
    <w:rsid w:val="00DB54A3"/>
    <w:rsid w:val="00DC0166"/>
    <w:rsid w:val="00DC1C26"/>
    <w:rsid w:val="00DC5D86"/>
    <w:rsid w:val="00DC73C9"/>
    <w:rsid w:val="00DD0930"/>
    <w:rsid w:val="00DD0EFA"/>
    <w:rsid w:val="00DD1C36"/>
    <w:rsid w:val="00DE42A7"/>
    <w:rsid w:val="00DE50AB"/>
    <w:rsid w:val="00DF2C98"/>
    <w:rsid w:val="00DF698F"/>
    <w:rsid w:val="00E007AC"/>
    <w:rsid w:val="00E071D0"/>
    <w:rsid w:val="00E1276C"/>
    <w:rsid w:val="00E1393E"/>
    <w:rsid w:val="00E25210"/>
    <w:rsid w:val="00E3768B"/>
    <w:rsid w:val="00E41605"/>
    <w:rsid w:val="00E420AC"/>
    <w:rsid w:val="00E45BDF"/>
    <w:rsid w:val="00E46611"/>
    <w:rsid w:val="00E51451"/>
    <w:rsid w:val="00E54D25"/>
    <w:rsid w:val="00E6476B"/>
    <w:rsid w:val="00E653C9"/>
    <w:rsid w:val="00E6606D"/>
    <w:rsid w:val="00E67870"/>
    <w:rsid w:val="00E75316"/>
    <w:rsid w:val="00E75EA8"/>
    <w:rsid w:val="00E83735"/>
    <w:rsid w:val="00E86F49"/>
    <w:rsid w:val="00E96150"/>
    <w:rsid w:val="00EA002F"/>
    <w:rsid w:val="00EA067A"/>
    <w:rsid w:val="00EA3A7A"/>
    <w:rsid w:val="00EA4C40"/>
    <w:rsid w:val="00EC006F"/>
    <w:rsid w:val="00EC62DC"/>
    <w:rsid w:val="00ED0F28"/>
    <w:rsid w:val="00ED19C7"/>
    <w:rsid w:val="00ED3363"/>
    <w:rsid w:val="00ED38B6"/>
    <w:rsid w:val="00ED5A09"/>
    <w:rsid w:val="00ED727B"/>
    <w:rsid w:val="00ED7AC5"/>
    <w:rsid w:val="00EE04E2"/>
    <w:rsid w:val="00EE6E41"/>
    <w:rsid w:val="00EF1676"/>
    <w:rsid w:val="00F00652"/>
    <w:rsid w:val="00F011B0"/>
    <w:rsid w:val="00F06542"/>
    <w:rsid w:val="00F06FF0"/>
    <w:rsid w:val="00F12462"/>
    <w:rsid w:val="00F128F4"/>
    <w:rsid w:val="00F1532D"/>
    <w:rsid w:val="00F17986"/>
    <w:rsid w:val="00F240A4"/>
    <w:rsid w:val="00F26573"/>
    <w:rsid w:val="00F27944"/>
    <w:rsid w:val="00F27C23"/>
    <w:rsid w:val="00F32A20"/>
    <w:rsid w:val="00F412DC"/>
    <w:rsid w:val="00F42F59"/>
    <w:rsid w:val="00F43F76"/>
    <w:rsid w:val="00F5099E"/>
    <w:rsid w:val="00F51ECD"/>
    <w:rsid w:val="00F531DF"/>
    <w:rsid w:val="00F563A5"/>
    <w:rsid w:val="00F56954"/>
    <w:rsid w:val="00F57850"/>
    <w:rsid w:val="00F60433"/>
    <w:rsid w:val="00F70516"/>
    <w:rsid w:val="00F728C2"/>
    <w:rsid w:val="00F7607E"/>
    <w:rsid w:val="00F76C6A"/>
    <w:rsid w:val="00F82A36"/>
    <w:rsid w:val="00F82CF4"/>
    <w:rsid w:val="00F85945"/>
    <w:rsid w:val="00F85C69"/>
    <w:rsid w:val="00F94352"/>
    <w:rsid w:val="00F97EBC"/>
    <w:rsid w:val="00FB172F"/>
    <w:rsid w:val="00FB7480"/>
    <w:rsid w:val="00FC037F"/>
    <w:rsid w:val="00FC2FB4"/>
    <w:rsid w:val="00FD32FE"/>
    <w:rsid w:val="00FD40E6"/>
    <w:rsid w:val="00FE3574"/>
    <w:rsid w:val="00FE53F7"/>
    <w:rsid w:val="00FE7AA3"/>
    <w:rsid w:val="00FF42C9"/>
    <w:rsid w:val="00FF5E38"/>
    <w:rsid w:val="00FF69F2"/>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D6E"/>
    <w:pPr>
      <w:suppressAutoHyphens/>
      <w:spacing w:after="200"/>
      <w:jc w:val="both"/>
    </w:pPr>
    <w:rPr>
      <w:rFonts w:ascii="Times" w:hAnsi="Times" w:cs="Times"/>
      <w:color w:val="00000A"/>
      <w:kern w:val="1"/>
      <w:sz w:val="24"/>
      <w:szCs w:val="24"/>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A87D6E"/>
    <w:rPr>
      <w:sz w:val="21"/>
      <w:szCs w:val="21"/>
    </w:rPr>
  </w:style>
  <w:style w:type="character" w:customStyle="1" w:styleId="WW8Num1z1">
    <w:name w:val="WW8Num1z1"/>
    <w:rsid w:val="00A87D6E"/>
  </w:style>
  <w:style w:type="character" w:customStyle="1" w:styleId="WW8Num1z2">
    <w:name w:val="WW8Num1z2"/>
    <w:rsid w:val="00A87D6E"/>
  </w:style>
  <w:style w:type="character" w:customStyle="1" w:styleId="WW8Num1z3">
    <w:name w:val="WW8Num1z3"/>
    <w:rsid w:val="00A87D6E"/>
  </w:style>
  <w:style w:type="character" w:customStyle="1" w:styleId="WW8Num1z4">
    <w:name w:val="WW8Num1z4"/>
    <w:rsid w:val="00A87D6E"/>
  </w:style>
  <w:style w:type="character" w:customStyle="1" w:styleId="WW8Num1z5">
    <w:name w:val="WW8Num1z5"/>
    <w:rsid w:val="00A87D6E"/>
  </w:style>
  <w:style w:type="character" w:customStyle="1" w:styleId="WW8Num1z6">
    <w:name w:val="WW8Num1z6"/>
    <w:rsid w:val="00A87D6E"/>
  </w:style>
  <w:style w:type="character" w:customStyle="1" w:styleId="WW8Num1z7">
    <w:name w:val="WW8Num1z7"/>
    <w:rsid w:val="00A87D6E"/>
  </w:style>
  <w:style w:type="character" w:customStyle="1" w:styleId="WW8Num1z8">
    <w:name w:val="WW8Num1z8"/>
    <w:rsid w:val="00A87D6E"/>
  </w:style>
  <w:style w:type="character" w:customStyle="1" w:styleId="WW8Num2z0">
    <w:name w:val="WW8Num2z0"/>
    <w:rsid w:val="00A87D6E"/>
  </w:style>
  <w:style w:type="character" w:customStyle="1" w:styleId="WW8Num2z1">
    <w:name w:val="WW8Num2z1"/>
    <w:rsid w:val="00A87D6E"/>
  </w:style>
  <w:style w:type="character" w:customStyle="1" w:styleId="WW8Num2z2">
    <w:name w:val="WW8Num2z2"/>
    <w:rsid w:val="00A87D6E"/>
  </w:style>
  <w:style w:type="character" w:customStyle="1" w:styleId="WW8Num2z3">
    <w:name w:val="WW8Num2z3"/>
    <w:rsid w:val="00A87D6E"/>
  </w:style>
  <w:style w:type="character" w:customStyle="1" w:styleId="WW8Num2z4">
    <w:name w:val="WW8Num2z4"/>
    <w:rsid w:val="00A87D6E"/>
  </w:style>
  <w:style w:type="character" w:customStyle="1" w:styleId="WW8Num2z5">
    <w:name w:val="WW8Num2z5"/>
    <w:rsid w:val="00A87D6E"/>
  </w:style>
  <w:style w:type="character" w:customStyle="1" w:styleId="WW8Num2z6">
    <w:name w:val="WW8Num2z6"/>
    <w:rsid w:val="00A87D6E"/>
  </w:style>
  <w:style w:type="character" w:customStyle="1" w:styleId="WW8Num2z7">
    <w:name w:val="WW8Num2z7"/>
    <w:rsid w:val="00A87D6E"/>
  </w:style>
  <w:style w:type="character" w:customStyle="1" w:styleId="WW8Num2z8">
    <w:name w:val="WW8Num2z8"/>
    <w:rsid w:val="00A87D6E"/>
  </w:style>
  <w:style w:type="character" w:customStyle="1" w:styleId="WW8Num3z0">
    <w:name w:val="WW8Num3z0"/>
    <w:rsid w:val="00A87D6E"/>
  </w:style>
  <w:style w:type="character" w:customStyle="1" w:styleId="WW8Num3z1">
    <w:name w:val="WW8Num3z1"/>
    <w:rsid w:val="00A87D6E"/>
  </w:style>
  <w:style w:type="character" w:customStyle="1" w:styleId="WW8Num3z2">
    <w:name w:val="WW8Num3z2"/>
    <w:rsid w:val="00A87D6E"/>
  </w:style>
  <w:style w:type="character" w:customStyle="1" w:styleId="WW8Num3z3">
    <w:name w:val="WW8Num3z3"/>
    <w:rsid w:val="00A87D6E"/>
  </w:style>
  <w:style w:type="character" w:customStyle="1" w:styleId="WW8Num3z4">
    <w:name w:val="WW8Num3z4"/>
    <w:rsid w:val="00A87D6E"/>
  </w:style>
  <w:style w:type="character" w:customStyle="1" w:styleId="WW8Num3z5">
    <w:name w:val="WW8Num3z5"/>
    <w:rsid w:val="00A87D6E"/>
  </w:style>
  <w:style w:type="character" w:customStyle="1" w:styleId="WW8Num3z6">
    <w:name w:val="WW8Num3z6"/>
    <w:rsid w:val="00A87D6E"/>
  </w:style>
  <w:style w:type="character" w:customStyle="1" w:styleId="WW8Num3z7">
    <w:name w:val="WW8Num3z7"/>
    <w:rsid w:val="00A87D6E"/>
  </w:style>
  <w:style w:type="character" w:customStyle="1" w:styleId="WW8Num3z8">
    <w:name w:val="WW8Num3z8"/>
    <w:rsid w:val="00A87D6E"/>
  </w:style>
  <w:style w:type="character" w:customStyle="1" w:styleId="Fuentedeprrafopredeter2">
    <w:name w:val="Fuente de párrafo predeter.2"/>
    <w:rsid w:val="00A87D6E"/>
  </w:style>
  <w:style w:type="character" w:customStyle="1" w:styleId="Fuentedeprrafopredeter1">
    <w:name w:val="Fuente de párrafo predeter.1"/>
    <w:rsid w:val="00A87D6E"/>
  </w:style>
  <w:style w:type="character" w:customStyle="1" w:styleId="Fuentedeprrafopredeter3">
    <w:name w:val="Fuente de párrafo predeter.3"/>
    <w:rsid w:val="00A87D6E"/>
  </w:style>
  <w:style w:type="character" w:customStyle="1" w:styleId="Hipervnculovisitado1">
    <w:name w:val="Hipervínculo visitado1"/>
    <w:rsid w:val="00A87D6E"/>
    <w:rPr>
      <w:color w:val="800080"/>
      <w:u w:val="single"/>
    </w:rPr>
  </w:style>
  <w:style w:type="character" w:styleId="Hipervnculo">
    <w:name w:val="Hyperlink"/>
    <w:rsid w:val="00A87D6E"/>
    <w:rPr>
      <w:color w:val="0000FF"/>
      <w:u w:val="single"/>
    </w:rPr>
  </w:style>
  <w:style w:type="character" w:customStyle="1" w:styleId="Nmerodepgina1">
    <w:name w:val="Número de página1"/>
    <w:basedOn w:val="Fuentedeprrafopredeter3"/>
    <w:rsid w:val="00A87D6E"/>
  </w:style>
  <w:style w:type="character" w:customStyle="1" w:styleId="StyleFACorrespondingAuthorFootnote7ptChar">
    <w:name w:val="Style FA_Corresponding_Author_Footnote + 7 pt Char"/>
    <w:rsid w:val="00A87D6E"/>
    <w:rPr>
      <w:rFonts w:ascii="Arno Pro" w:hAnsi="Arno Pro" w:cs="Arno Pro"/>
      <w:sz w:val="18"/>
    </w:rPr>
  </w:style>
  <w:style w:type="character" w:customStyle="1" w:styleId="FAAuthorInfoSubtitleChar">
    <w:name w:val="FA_Author_Info_Subtitle Char"/>
    <w:rsid w:val="00A87D6E"/>
    <w:rPr>
      <w:rFonts w:ascii="Times" w:hAnsi="Times" w:cs="Times"/>
      <w:b/>
      <w:sz w:val="24"/>
    </w:rPr>
  </w:style>
  <w:style w:type="character" w:customStyle="1" w:styleId="Textodelmarcadordeposicin1">
    <w:name w:val="Texto del marcador de posición1"/>
    <w:rsid w:val="00A87D6E"/>
    <w:rPr>
      <w:color w:val="808080"/>
    </w:rPr>
  </w:style>
  <w:style w:type="character" w:customStyle="1" w:styleId="Refdecomentario1">
    <w:name w:val="Ref. de comentario1"/>
    <w:rsid w:val="00A87D6E"/>
    <w:rPr>
      <w:sz w:val="16"/>
      <w:szCs w:val="16"/>
    </w:rPr>
  </w:style>
  <w:style w:type="character" w:customStyle="1" w:styleId="TextocomentarioCar">
    <w:name w:val="Texto comentario Car"/>
    <w:rsid w:val="00A87D6E"/>
    <w:rPr>
      <w:rFonts w:ascii="Times" w:hAnsi="Times" w:cs="Times"/>
      <w:color w:val="00000A"/>
      <w:kern w:val="1"/>
      <w:lang w:val="en-US"/>
    </w:rPr>
  </w:style>
  <w:style w:type="character" w:customStyle="1" w:styleId="AsuntodelcomentarioCar">
    <w:name w:val="Asunto del comentario Car"/>
    <w:rsid w:val="00A87D6E"/>
    <w:rPr>
      <w:rFonts w:ascii="Times" w:hAnsi="Times" w:cs="Times"/>
      <w:b/>
      <w:bCs/>
      <w:color w:val="00000A"/>
      <w:kern w:val="1"/>
      <w:lang w:val="en-US"/>
    </w:rPr>
  </w:style>
  <w:style w:type="character" w:customStyle="1" w:styleId="TextodegloboCar">
    <w:name w:val="Texto de globo Car"/>
    <w:rsid w:val="00A87D6E"/>
    <w:rPr>
      <w:rFonts w:ascii="Tahoma" w:hAnsi="Tahoma" w:cs="Tahoma"/>
      <w:color w:val="00000A"/>
      <w:kern w:val="1"/>
      <w:sz w:val="16"/>
      <w:szCs w:val="16"/>
      <w:lang w:val="en-US"/>
    </w:rPr>
  </w:style>
  <w:style w:type="character" w:customStyle="1" w:styleId="LO-normal">
    <w:name w:val="LO-normal"/>
    <w:basedOn w:val="Fuentedeprrafopredeter1"/>
    <w:rsid w:val="00A87D6E"/>
  </w:style>
  <w:style w:type="paragraph" w:customStyle="1" w:styleId="Heading">
    <w:name w:val="Heading"/>
    <w:basedOn w:val="Normal"/>
    <w:next w:val="Textoindependiente"/>
    <w:rsid w:val="00A87D6E"/>
    <w:pPr>
      <w:keepNext/>
      <w:spacing w:before="240" w:after="120"/>
    </w:pPr>
    <w:rPr>
      <w:rFonts w:ascii="Arial" w:eastAsia="DejaVu Sans" w:hAnsi="Arial" w:cs="Lohit Hindi"/>
      <w:sz w:val="28"/>
      <w:szCs w:val="28"/>
    </w:rPr>
  </w:style>
  <w:style w:type="paragraph" w:styleId="Textoindependiente">
    <w:name w:val="Body Text"/>
    <w:basedOn w:val="Normal"/>
    <w:rsid w:val="00A87D6E"/>
    <w:pPr>
      <w:spacing w:after="120"/>
      <w:jc w:val="center"/>
    </w:pPr>
    <w:rPr>
      <w:b/>
      <w:sz w:val="40"/>
    </w:rPr>
  </w:style>
  <w:style w:type="paragraph" w:styleId="Lista">
    <w:name w:val="List"/>
    <w:basedOn w:val="Textoindependiente"/>
    <w:rsid w:val="00A87D6E"/>
    <w:rPr>
      <w:rFonts w:cs="Lohit Hindi"/>
    </w:rPr>
  </w:style>
  <w:style w:type="paragraph" w:styleId="Epgrafe">
    <w:name w:val="caption"/>
    <w:basedOn w:val="Normal"/>
    <w:qFormat/>
    <w:rsid w:val="00A87D6E"/>
    <w:pPr>
      <w:suppressLineNumbers/>
      <w:spacing w:before="120" w:after="120"/>
    </w:pPr>
    <w:rPr>
      <w:rFonts w:cs="Lohit Hindi"/>
      <w:i/>
      <w:iCs/>
    </w:rPr>
  </w:style>
  <w:style w:type="paragraph" w:customStyle="1" w:styleId="Index">
    <w:name w:val="Index"/>
    <w:basedOn w:val="Normal"/>
    <w:rsid w:val="00A87D6E"/>
    <w:pPr>
      <w:suppressLineNumbers/>
    </w:pPr>
    <w:rPr>
      <w:rFonts w:cs="Lohit Hindi"/>
    </w:rPr>
  </w:style>
  <w:style w:type="paragraph" w:customStyle="1" w:styleId="Epgrafe2">
    <w:name w:val="Epígrafe2"/>
    <w:basedOn w:val="Normal"/>
    <w:rsid w:val="00A87D6E"/>
    <w:pPr>
      <w:suppressLineNumbers/>
      <w:spacing w:before="120" w:after="120"/>
    </w:pPr>
    <w:rPr>
      <w:rFonts w:cs="Lohit Hindi"/>
      <w:i/>
      <w:iCs/>
    </w:rPr>
  </w:style>
  <w:style w:type="paragraph" w:customStyle="1" w:styleId="Epgrafe1">
    <w:name w:val="Epígrafe1"/>
    <w:basedOn w:val="Normal"/>
    <w:rsid w:val="00A87D6E"/>
    <w:pPr>
      <w:suppressLineNumbers/>
      <w:spacing w:before="120" w:after="120"/>
    </w:pPr>
    <w:rPr>
      <w:rFonts w:cs="Lohit Hindi"/>
      <w:i/>
      <w:iCs/>
    </w:rPr>
  </w:style>
  <w:style w:type="paragraph" w:customStyle="1" w:styleId="Textonotapie1">
    <w:name w:val="Texto nota pie1"/>
    <w:basedOn w:val="Normal"/>
    <w:rsid w:val="00A87D6E"/>
  </w:style>
  <w:style w:type="paragraph" w:customStyle="1" w:styleId="TFReferencesSection">
    <w:name w:val="TF_References_Section"/>
    <w:basedOn w:val="Normal"/>
    <w:rsid w:val="00A87D6E"/>
    <w:pPr>
      <w:spacing w:line="480" w:lineRule="auto"/>
      <w:ind w:firstLine="187"/>
    </w:pPr>
  </w:style>
  <w:style w:type="paragraph" w:customStyle="1" w:styleId="TAMainText">
    <w:name w:val="TA_Main_Text"/>
    <w:basedOn w:val="Normal"/>
    <w:link w:val="TAMainTextCar"/>
    <w:rsid w:val="00A87D6E"/>
    <w:pPr>
      <w:spacing w:after="0" w:line="480" w:lineRule="auto"/>
      <w:ind w:firstLine="202"/>
    </w:pPr>
  </w:style>
  <w:style w:type="paragraph" w:customStyle="1" w:styleId="BATitle">
    <w:name w:val="BA_Title"/>
    <w:basedOn w:val="Normal"/>
    <w:rsid w:val="00A87D6E"/>
    <w:pPr>
      <w:spacing w:before="720" w:after="360" w:line="480" w:lineRule="auto"/>
      <w:jc w:val="center"/>
    </w:pPr>
    <w:rPr>
      <w:rFonts w:ascii="Times New Roman" w:hAnsi="Times New Roman" w:cs="Times New Roman"/>
      <w:sz w:val="44"/>
    </w:rPr>
  </w:style>
  <w:style w:type="paragraph" w:customStyle="1" w:styleId="BBAuthorName">
    <w:name w:val="BB_Author_Name"/>
    <w:basedOn w:val="Normal"/>
    <w:rsid w:val="00A87D6E"/>
    <w:pPr>
      <w:spacing w:after="240" w:line="480" w:lineRule="auto"/>
      <w:jc w:val="center"/>
    </w:pPr>
    <w:rPr>
      <w:i/>
    </w:rPr>
  </w:style>
  <w:style w:type="paragraph" w:customStyle="1" w:styleId="BCAuthorAddress">
    <w:name w:val="BC_Author_Address"/>
    <w:basedOn w:val="Normal"/>
    <w:rsid w:val="00A87D6E"/>
    <w:pPr>
      <w:spacing w:after="240" w:line="480" w:lineRule="auto"/>
      <w:jc w:val="center"/>
    </w:pPr>
  </w:style>
  <w:style w:type="paragraph" w:customStyle="1" w:styleId="BIEmailAddress">
    <w:name w:val="BI_Email_Address"/>
    <w:basedOn w:val="Normal"/>
    <w:rsid w:val="00A87D6E"/>
    <w:pPr>
      <w:spacing w:line="480" w:lineRule="auto"/>
    </w:pPr>
  </w:style>
  <w:style w:type="paragraph" w:customStyle="1" w:styleId="AIReceivedDate">
    <w:name w:val="AI_Received_Date"/>
    <w:basedOn w:val="Normal"/>
    <w:rsid w:val="00A87D6E"/>
    <w:pPr>
      <w:spacing w:after="240" w:line="480" w:lineRule="auto"/>
    </w:pPr>
    <w:rPr>
      <w:b/>
    </w:rPr>
  </w:style>
  <w:style w:type="paragraph" w:customStyle="1" w:styleId="BDAbstract">
    <w:name w:val="BD_Abstract"/>
    <w:basedOn w:val="Normal"/>
    <w:rsid w:val="00A87D6E"/>
    <w:pPr>
      <w:spacing w:before="360" w:after="360" w:line="480" w:lineRule="auto"/>
    </w:pPr>
  </w:style>
  <w:style w:type="paragraph" w:customStyle="1" w:styleId="TDAcknowledgments">
    <w:name w:val="TD_Acknowledgments"/>
    <w:basedOn w:val="Normal"/>
    <w:rsid w:val="00A87D6E"/>
    <w:pPr>
      <w:spacing w:before="200" w:line="480" w:lineRule="auto"/>
      <w:ind w:firstLine="202"/>
    </w:pPr>
  </w:style>
  <w:style w:type="paragraph" w:customStyle="1" w:styleId="TESupportingInformation">
    <w:name w:val="TE_Supporting_Information"/>
    <w:basedOn w:val="Normal"/>
    <w:rsid w:val="00A87D6E"/>
    <w:pPr>
      <w:spacing w:line="480" w:lineRule="auto"/>
      <w:ind w:firstLine="187"/>
    </w:pPr>
  </w:style>
  <w:style w:type="paragraph" w:customStyle="1" w:styleId="VCSchemeTitle">
    <w:name w:val="VC_Scheme_Title"/>
    <w:basedOn w:val="Normal"/>
    <w:rsid w:val="00A87D6E"/>
    <w:pPr>
      <w:spacing w:line="480" w:lineRule="auto"/>
    </w:pPr>
  </w:style>
  <w:style w:type="paragraph" w:customStyle="1" w:styleId="VDTableTitle">
    <w:name w:val="VD_Table_Title"/>
    <w:basedOn w:val="Normal"/>
    <w:rsid w:val="00A87D6E"/>
    <w:pPr>
      <w:spacing w:line="480" w:lineRule="auto"/>
    </w:pPr>
  </w:style>
  <w:style w:type="paragraph" w:customStyle="1" w:styleId="VAFigureCaption">
    <w:name w:val="VA_Figure_Caption"/>
    <w:basedOn w:val="Normal"/>
    <w:rsid w:val="00A87D6E"/>
    <w:pPr>
      <w:spacing w:line="480" w:lineRule="auto"/>
    </w:pPr>
  </w:style>
  <w:style w:type="paragraph" w:customStyle="1" w:styleId="VBChartTitle">
    <w:name w:val="VB_Chart_Title"/>
    <w:basedOn w:val="Normal"/>
    <w:rsid w:val="00A87D6E"/>
    <w:pPr>
      <w:spacing w:line="480" w:lineRule="auto"/>
    </w:pPr>
  </w:style>
  <w:style w:type="paragraph" w:customStyle="1" w:styleId="FETableFootnote">
    <w:name w:val="FE_Table_Footnote"/>
    <w:basedOn w:val="Normal"/>
    <w:rsid w:val="00A87D6E"/>
    <w:pPr>
      <w:ind w:firstLine="187"/>
    </w:pPr>
  </w:style>
  <w:style w:type="paragraph" w:customStyle="1" w:styleId="FCChartFootnote">
    <w:name w:val="FC_Chart_Footnote"/>
    <w:basedOn w:val="Normal"/>
    <w:rsid w:val="00A87D6E"/>
    <w:pPr>
      <w:ind w:firstLine="187"/>
    </w:pPr>
  </w:style>
  <w:style w:type="paragraph" w:customStyle="1" w:styleId="FDSchemeFootnote">
    <w:name w:val="FD_Scheme_Footnote"/>
    <w:basedOn w:val="Normal"/>
    <w:rsid w:val="00A87D6E"/>
    <w:pPr>
      <w:ind w:firstLine="187"/>
    </w:pPr>
  </w:style>
  <w:style w:type="paragraph" w:customStyle="1" w:styleId="TCTableBody">
    <w:name w:val="TC_Table_Body"/>
    <w:basedOn w:val="Normal"/>
    <w:rsid w:val="00A87D6E"/>
  </w:style>
  <w:style w:type="paragraph" w:customStyle="1" w:styleId="AFTitleRunningHead">
    <w:name w:val="AF_Title_Running_Head"/>
    <w:basedOn w:val="Normal"/>
    <w:rsid w:val="00A87D6E"/>
    <w:pPr>
      <w:spacing w:line="480" w:lineRule="auto"/>
    </w:pPr>
  </w:style>
  <w:style w:type="paragraph" w:customStyle="1" w:styleId="BEAuthorBiography">
    <w:name w:val="BE_Author_Biography"/>
    <w:basedOn w:val="Normal"/>
    <w:rsid w:val="00A87D6E"/>
    <w:pPr>
      <w:spacing w:line="480" w:lineRule="auto"/>
    </w:pPr>
  </w:style>
  <w:style w:type="paragraph" w:customStyle="1" w:styleId="FACorrespondingAuthorFootnote">
    <w:name w:val="FA_Corresponding_Author_Footnote"/>
    <w:basedOn w:val="Normal"/>
    <w:rsid w:val="00A87D6E"/>
    <w:pPr>
      <w:spacing w:line="480" w:lineRule="auto"/>
    </w:pPr>
  </w:style>
  <w:style w:type="paragraph" w:customStyle="1" w:styleId="SNSynopsisTOC">
    <w:name w:val="SN_Synopsis_TOC"/>
    <w:basedOn w:val="Normal"/>
    <w:rsid w:val="00A87D6E"/>
    <w:pPr>
      <w:spacing w:line="480" w:lineRule="auto"/>
    </w:pPr>
  </w:style>
  <w:style w:type="paragraph" w:styleId="Piedepgina">
    <w:name w:val="footer"/>
    <w:basedOn w:val="Normal"/>
    <w:rsid w:val="00A87D6E"/>
    <w:pPr>
      <w:tabs>
        <w:tab w:val="center" w:pos="4320"/>
        <w:tab w:val="right" w:pos="8640"/>
      </w:tabs>
    </w:pPr>
  </w:style>
  <w:style w:type="paragraph" w:customStyle="1" w:styleId="BGKeywords">
    <w:name w:val="BG_Keywords"/>
    <w:basedOn w:val="Normal"/>
    <w:rsid w:val="00A87D6E"/>
    <w:pPr>
      <w:spacing w:line="480" w:lineRule="auto"/>
    </w:pPr>
  </w:style>
  <w:style w:type="paragraph" w:customStyle="1" w:styleId="BHBriefs">
    <w:name w:val="BH_Briefs"/>
    <w:basedOn w:val="Normal"/>
    <w:rsid w:val="00A87D6E"/>
    <w:pPr>
      <w:spacing w:line="480" w:lineRule="auto"/>
    </w:pPr>
  </w:style>
  <w:style w:type="paragraph" w:customStyle="1" w:styleId="Textodeglobo1">
    <w:name w:val="Texto de globo1"/>
    <w:basedOn w:val="Normal"/>
    <w:rsid w:val="00A87D6E"/>
    <w:rPr>
      <w:rFonts w:ascii="Tahoma" w:hAnsi="Tahoma" w:cs="Tahoma"/>
      <w:sz w:val="16"/>
      <w:szCs w:val="16"/>
    </w:rPr>
  </w:style>
  <w:style w:type="paragraph" w:customStyle="1" w:styleId="StyleFACorrespondingAuthorFootnote7pt">
    <w:name w:val="Style FA_Corresponding_Author_Footnote + 7 pt"/>
    <w:basedOn w:val="Normal"/>
    <w:rsid w:val="00A87D6E"/>
    <w:pPr>
      <w:spacing w:after="0"/>
      <w:jc w:val="left"/>
    </w:pPr>
    <w:rPr>
      <w:rFonts w:ascii="Arno Pro" w:hAnsi="Arno Pro" w:cs="Arno Pro"/>
      <w:sz w:val="18"/>
    </w:rPr>
  </w:style>
  <w:style w:type="paragraph" w:customStyle="1" w:styleId="FAAuthorInfoSubtitle">
    <w:name w:val="FA_Author_Info_Subtitle"/>
    <w:basedOn w:val="Normal"/>
    <w:rsid w:val="00A87D6E"/>
    <w:pPr>
      <w:spacing w:before="120" w:after="60" w:line="480" w:lineRule="auto"/>
      <w:jc w:val="left"/>
    </w:pPr>
    <w:rPr>
      <w:b/>
    </w:rPr>
  </w:style>
  <w:style w:type="paragraph" w:customStyle="1" w:styleId="Epgrafe3">
    <w:name w:val="Epígrafe3"/>
    <w:basedOn w:val="Normal"/>
    <w:rsid w:val="00A87D6E"/>
    <w:rPr>
      <w:b/>
      <w:bCs/>
      <w:color w:val="4F81BD"/>
      <w:sz w:val="18"/>
      <w:szCs w:val="18"/>
    </w:rPr>
  </w:style>
  <w:style w:type="paragraph" w:customStyle="1" w:styleId="FrameContents">
    <w:name w:val="Frame Contents"/>
    <w:basedOn w:val="Normal"/>
    <w:rsid w:val="00A87D6E"/>
  </w:style>
  <w:style w:type="paragraph" w:customStyle="1" w:styleId="Tableofcontents">
    <w:name w:val="Table of contents"/>
    <w:basedOn w:val="Normal"/>
    <w:rsid w:val="00A87D6E"/>
  </w:style>
  <w:style w:type="paragraph" w:customStyle="1" w:styleId="Default">
    <w:name w:val="Default"/>
    <w:rsid w:val="00A87D6E"/>
    <w:pPr>
      <w:suppressAutoHyphens/>
    </w:pPr>
    <w:rPr>
      <w:rFonts w:ascii="Lohit Hindi" w:eastAsia="DejaVu Sans" w:hAnsi="Lohit Hindi" w:cs="Arial"/>
      <w:color w:val="00000A"/>
      <w:kern w:val="1"/>
      <w:sz w:val="36"/>
      <w:szCs w:val="24"/>
      <w:lang w:val="en-US" w:eastAsia="zh-CN" w:bidi="hi-IN"/>
    </w:rPr>
  </w:style>
  <w:style w:type="paragraph" w:customStyle="1" w:styleId="Objectwitharrow">
    <w:name w:val="Object with arrow"/>
    <w:basedOn w:val="Default"/>
    <w:rsid w:val="00A87D6E"/>
    <w:rPr>
      <w:rFonts w:cs="Lohit Hindi"/>
    </w:rPr>
  </w:style>
  <w:style w:type="paragraph" w:customStyle="1" w:styleId="Objectwithshadow">
    <w:name w:val="Object with shadow"/>
    <w:basedOn w:val="Default"/>
    <w:rsid w:val="00A87D6E"/>
    <w:rPr>
      <w:rFonts w:cs="Lohit Hindi"/>
    </w:rPr>
  </w:style>
  <w:style w:type="paragraph" w:customStyle="1" w:styleId="Objectwithoutfill">
    <w:name w:val="Object without fill"/>
    <w:basedOn w:val="Default"/>
    <w:rsid w:val="00A87D6E"/>
    <w:rPr>
      <w:rFonts w:cs="Lohit Hindi"/>
    </w:rPr>
  </w:style>
  <w:style w:type="paragraph" w:customStyle="1" w:styleId="Objectwithnofillandnoline">
    <w:name w:val="Object with no fill and no line"/>
    <w:basedOn w:val="Default"/>
    <w:rsid w:val="00A87D6E"/>
    <w:rPr>
      <w:rFonts w:cs="Lohit Hindi"/>
    </w:rPr>
  </w:style>
  <w:style w:type="paragraph" w:customStyle="1" w:styleId="Textbodyjustified">
    <w:name w:val="Text body justified"/>
    <w:basedOn w:val="Default"/>
    <w:rsid w:val="00A87D6E"/>
    <w:rPr>
      <w:rFonts w:cs="Lohit Hindi"/>
    </w:rPr>
  </w:style>
  <w:style w:type="paragraph" w:customStyle="1" w:styleId="Title1">
    <w:name w:val="Title1"/>
    <w:basedOn w:val="Default"/>
    <w:rsid w:val="00A87D6E"/>
    <w:pPr>
      <w:jc w:val="center"/>
    </w:pPr>
    <w:rPr>
      <w:rFonts w:cs="Lohit Hindi"/>
    </w:rPr>
  </w:style>
  <w:style w:type="paragraph" w:customStyle="1" w:styleId="Title2">
    <w:name w:val="Title2"/>
    <w:basedOn w:val="Default"/>
    <w:rsid w:val="00A87D6E"/>
    <w:pPr>
      <w:spacing w:before="57" w:after="57"/>
      <w:ind w:right="113"/>
      <w:jc w:val="center"/>
    </w:pPr>
    <w:rPr>
      <w:rFonts w:cs="Lohit Hindi"/>
    </w:rPr>
  </w:style>
  <w:style w:type="paragraph" w:customStyle="1" w:styleId="DimensionLine">
    <w:name w:val="Dimension Line"/>
    <w:basedOn w:val="Default"/>
    <w:rsid w:val="00A87D6E"/>
    <w:rPr>
      <w:rFonts w:cs="Lohit Hindi"/>
    </w:rPr>
  </w:style>
  <w:style w:type="paragraph" w:customStyle="1" w:styleId="DiapositivadettuloLTGliederung1">
    <w:name w:val="Diapositiva de título~LT~Gliederung 1"/>
    <w:rsid w:val="00A87D6E"/>
    <w:pPr>
      <w:suppressAutoHyphens/>
      <w:spacing w:after="283"/>
    </w:pPr>
    <w:rPr>
      <w:rFonts w:ascii="Lohit Hindi" w:eastAsia="DejaVu Sans" w:hAnsi="Lohit Hindi" w:cs="Arial"/>
      <w:color w:val="00000A"/>
      <w:kern w:val="1"/>
      <w:sz w:val="64"/>
      <w:szCs w:val="24"/>
      <w:lang w:val="en-US" w:eastAsia="zh-CN" w:bidi="hi-IN"/>
    </w:rPr>
  </w:style>
  <w:style w:type="paragraph" w:customStyle="1" w:styleId="DiapositivadettuloLTGliederung2">
    <w:name w:val="Diapositiva de título~LT~Gliederung 2"/>
    <w:basedOn w:val="DiapositivadettuloLTGliederung1"/>
    <w:rsid w:val="00A87D6E"/>
    <w:pPr>
      <w:spacing w:after="227"/>
    </w:pPr>
    <w:rPr>
      <w:rFonts w:cs="Lohit Hindi"/>
      <w:sz w:val="48"/>
    </w:rPr>
  </w:style>
  <w:style w:type="paragraph" w:customStyle="1" w:styleId="DiapositivadettuloLTGliederung3">
    <w:name w:val="Diapositiva de título~LT~Gliederung 3"/>
    <w:basedOn w:val="DiapositivadettuloLTGliederung2"/>
    <w:rsid w:val="00A87D6E"/>
    <w:pPr>
      <w:spacing w:after="170"/>
    </w:pPr>
    <w:rPr>
      <w:sz w:val="40"/>
    </w:rPr>
  </w:style>
  <w:style w:type="paragraph" w:customStyle="1" w:styleId="DiapositivadettuloLTGliederung4">
    <w:name w:val="Diapositiva de título~LT~Gliederung 4"/>
    <w:basedOn w:val="DiapositivadettuloLTGliederung3"/>
    <w:rsid w:val="00A87D6E"/>
    <w:pPr>
      <w:spacing w:after="113"/>
    </w:pPr>
  </w:style>
  <w:style w:type="paragraph" w:customStyle="1" w:styleId="DiapositivadettuloLTGliederung5">
    <w:name w:val="Diapositiva de título~LT~Gliederung 5"/>
    <w:basedOn w:val="DiapositivadettuloLTGliederung4"/>
    <w:rsid w:val="00A87D6E"/>
    <w:pPr>
      <w:spacing w:after="57"/>
    </w:pPr>
  </w:style>
  <w:style w:type="paragraph" w:customStyle="1" w:styleId="DiapositivadettuloLTGliederung6">
    <w:name w:val="Diapositiva de título~LT~Gliederung 6"/>
    <w:basedOn w:val="DiapositivadettuloLTGliederung5"/>
    <w:rsid w:val="00A87D6E"/>
  </w:style>
  <w:style w:type="paragraph" w:customStyle="1" w:styleId="DiapositivadettuloLTGliederung7">
    <w:name w:val="Diapositiva de título~LT~Gliederung 7"/>
    <w:basedOn w:val="DiapositivadettuloLTGliederung6"/>
    <w:rsid w:val="00A87D6E"/>
  </w:style>
  <w:style w:type="paragraph" w:customStyle="1" w:styleId="DiapositivadettuloLTGliederung8">
    <w:name w:val="Diapositiva de título~LT~Gliederung 8"/>
    <w:basedOn w:val="DiapositivadettuloLTGliederung7"/>
    <w:rsid w:val="00A87D6E"/>
  </w:style>
  <w:style w:type="paragraph" w:customStyle="1" w:styleId="DiapositivadettuloLTGliederung9">
    <w:name w:val="Diapositiva de título~LT~Gliederung 9"/>
    <w:basedOn w:val="DiapositivadettuloLTGliederung8"/>
    <w:rsid w:val="00A87D6E"/>
  </w:style>
  <w:style w:type="paragraph" w:customStyle="1" w:styleId="DiapositivadettuloLTTitel">
    <w:name w:val="Diapositiva de título~LT~Titel"/>
    <w:rsid w:val="00A87D6E"/>
    <w:pPr>
      <w:suppressAutoHyphens/>
    </w:pPr>
    <w:rPr>
      <w:rFonts w:ascii="Lohit Hindi" w:eastAsia="DejaVu Sans" w:hAnsi="Lohit Hindi" w:cs="Arial"/>
      <w:color w:val="00000A"/>
      <w:kern w:val="1"/>
      <w:sz w:val="36"/>
      <w:szCs w:val="24"/>
      <w:lang w:val="en-US" w:eastAsia="zh-CN" w:bidi="hi-IN"/>
    </w:rPr>
  </w:style>
  <w:style w:type="paragraph" w:customStyle="1" w:styleId="DiapositivadettuloLTUntertitel">
    <w:name w:val="Diapositiva de título~LT~Untertitel"/>
    <w:rsid w:val="00A87D6E"/>
    <w:pPr>
      <w:suppressAutoHyphens/>
      <w:jc w:val="center"/>
    </w:pPr>
    <w:rPr>
      <w:rFonts w:ascii="Lohit Hindi" w:eastAsia="DejaVu Sans" w:hAnsi="Lohit Hindi" w:cs="Arial"/>
      <w:color w:val="00000A"/>
      <w:kern w:val="1"/>
      <w:sz w:val="64"/>
      <w:szCs w:val="24"/>
      <w:lang w:val="en-US" w:eastAsia="zh-CN" w:bidi="hi-IN"/>
    </w:rPr>
  </w:style>
  <w:style w:type="paragraph" w:customStyle="1" w:styleId="DiapositivadettuloLTNotizen">
    <w:name w:val="Diapositiva de título~LT~Notizen"/>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DiapositivadettuloLTHintergrundobjekte">
    <w:name w:val="Diapositiva de título~LT~Hintergrundobjekte"/>
    <w:rsid w:val="00A87D6E"/>
    <w:pPr>
      <w:suppressAutoHyphens/>
    </w:pPr>
    <w:rPr>
      <w:rFonts w:eastAsia="DejaVu Sans" w:cs="Arial"/>
      <w:color w:val="00000A"/>
      <w:kern w:val="1"/>
      <w:sz w:val="24"/>
      <w:szCs w:val="24"/>
      <w:lang w:val="en-US" w:eastAsia="zh-CN" w:bidi="hi-IN"/>
    </w:rPr>
  </w:style>
  <w:style w:type="paragraph" w:customStyle="1" w:styleId="DiapositivadettuloLTHintergrund">
    <w:name w:val="Diapositiva de título~LT~Hintergrund"/>
    <w:rsid w:val="00A87D6E"/>
    <w:pPr>
      <w:suppressAutoHyphens/>
    </w:pPr>
    <w:rPr>
      <w:rFonts w:eastAsia="DejaVu Sans" w:cs="Arial"/>
      <w:color w:val="00000A"/>
      <w:kern w:val="1"/>
      <w:sz w:val="24"/>
      <w:szCs w:val="24"/>
      <w:lang w:val="en-US" w:eastAsia="zh-CN" w:bidi="hi-IN"/>
    </w:rPr>
  </w:style>
  <w:style w:type="paragraph" w:customStyle="1" w:styleId="default0">
    <w:name w:val="default"/>
    <w:rsid w:val="00A87D6E"/>
    <w:pPr>
      <w:suppressAutoHyphens/>
    </w:pPr>
    <w:rPr>
      <w:rFonts w:ascii="Lohit Hindi" w:eastAsia="DejaVu Sans" w:hAnsi="Lohit Hindi" w:cs="Arial"/>
      <w:color w:val="00000A"/>
      <w:kern w:val="1"/>
      <w:sz w:val="36"/>
      <w:szCs w:val="24"/>
      <w:lang w:val="en-US" w:eastAsia="zh-CN" w:bidi="hi-IN"/>
    </w:rPr>
  </w:style>
  <w:style w:type="paragraph" w:customStyle="1" w:styleId="gray1">
    <w:name w:val="gray1"/>
    <w:basedOn w:val="default0"/>
    <w:rsid w:val="00A87D6E"/>
    <w:rPr>
      <w:rFonts w:cs="Lohit Hindi"/>
    </w:rPr>
  </w:style>
  <w:style w:type="paragraph" w:customStyle="1" w:styleId="gray2">
    <w:name w:val="gray2"/>
    <w:basedOn w:val="default0"/>
    <w:rsid w:val="00A87D6E"/>
    <w:rPr>
      <w:rFonts w:cs="Lohit Hindi"/>
    </w:rPr>
  </w:style>
  <w:style w:type="paragraph" w:customStyle="1" w:styleId="gray3">
    <w:name w:val="gray3"/>
    <w:basedOn w:val="default0"/>
    <w:rsid w:val="00A87D6E"/>
    <w:rPr>
      <w:rFonts w:cs="Lohit Hindi"/>
    </w:rPr>
  </w:style>
  <w:style w:type="paragraph" w:customStyle="1" w:styleId="bw1">
    <w:name w:val="bw1"/>
    <w:basedOn w:val="default0"/>
    <w:rsid w:val="00A87D6E"/>
    <w:rPr>
      <w:rFonts w:cs="Lohit Hindi"/>
    </w:rPr>
  </w:style>
  <w:style w:type="paragraph" w:customStyle="1" w:styleId="bw2">
    <w:name w:val="bw2"/>
    <w:basedOn w:val="default0"/>
    <w:rsid w:val="00A87D6E"/>
    <w:rPr>
      <w:rFonts w:cs="Lohit Hindi"/>
    </w:rPr>
  </w:style>
  <w:style w:type="paragraph" w:customStyle="1" w:styleId="bw3">
    <w:name w:val="bw3"/>
    <w:basedOn w:val="default0"/>
    <w:rsid w:val="00A87D6E"/>
    <w:rPr>
      <w:rFonts w:cs="Lohit Hindi"/>
    </w:rPr>
  </w:style>
  <w:style w:type="paragraph" w:customStyle="1" w:styleId="orange1">
    <w:name w:val="orange1"/>
    <w:basedOn w:val="default0"/>
    <w:rsid w:val="00A87D6E"/>
    <w:rPr>
      <w:rFonts w:cs="Lohit Hindi"/>
    </w:rPr>
  </w:style>
  <w:style w:type="paragraph" w:customStyle="1" w:styleId="orange2">
    <w:name w:val="orange2"/>
    <w:basedOn w:val="default0"/>
    <w:rsid w:val="00A87D6E"/>
    <w:rPr>
      <w:rFonts w:cs="Lohit Hindi"/>
    </w:rPr>
  </w:style>
  <w:style w:type="paragraph" w:customStyle="1" w:styleId="orange3">
    <w:name w:val="orange3"/>
    <w:basedOn w:val="default0"/>
    <w:rsid w:val="00A87D6E"/>
    <w:rPr>
      <w:rFonts w:cs="Lohit Hindi"/>
    </w:rPr>
  </w:style>
  <w:style w:type="paragraph" w:customStyle="1" w:styleId="turquise1">
    <w:name w:val="turquise1"/>
    <w:basedOn w:val="default0"/>
    <w:rsid w:val="00A87D6E"/>
    <w:rPr>
      <w:rFonts w:cs="Lohit Hindi"/>
    </w:rPr>
  </w:style>
  <w:style w:type="paragraph" w:customStyle="1" w:styleId="turquise2">
    <w:name w:val="turquise2"/>
    <w:basedOn w:val="default0"/>
    <w:rsid w:val="00A87D6E"/>
    <w:rPr>
      <w:rFonts w:cs="Lohit Hindi"/>
    </w:rPr>
  </w:style>
  <w:style w:type="paragraph" w:customStyle="1" w:styleId="turquise3">
    <w:name w:val="turquise3"/>
    <w:basedOn w:val="default0"/>
    <w:rsid w:val="00A87D6E"/>
    <w:rPr>
      <w:rFonts w:cs="Lohit Hindi"/>
    </w:rPr>
  </w:style>
  <w:style w:type="paragraph" w:customStyle="1" w:styleId="blue1">
    <w:name w:val="blue1"/>
    <w:basedOn w:val="default0"/>
    <w:rsid w:val="00A87D6E"/>
    <w:rPr>
      <w:rFonts w:cs="Lohit Hindi"/>
    </w:rPr>
  </w:style>
  <w:style w:type="paragraph" w:customStyle="1" w:styleId="blue2">
    <w:name w:val="blue2"/>
    <w:basedOn w:val="default0"/>
    <w:rsid w:val="00A87D6E"/>
    <w:rPr>
      <w:rFonts w:cs="Lohit Hindi"/>
    </w:rPr>
  </w:style>
  <w:style w:type="paragraph" w:customStyle="1" w:styleId="blue3">
    <w:name w:val="blue3"/>
    <w:basedOn w:val="default0"/>
    <w:rsid w:val="00A87D6E"/>
    <w:rPr>
      <w:rFonts w:cs="Lohit Hindi"/>
    </w:rPr>
  </w:style>
  <w:style w:type="paragraph" w:customStyle="1" w:styleId="sun1">
    <w:name w:val="sun1"/>
    <w:basedOn w:val="default0"/>
    <w:rsid w:val="00A87D6E"/>
    <w:rPr>
      <w:rFonts w:cs="Lohit Hindi"/>
    </w:rPr>
  </w:style>
  <w:style w:type="paragraph" w:customStyle="1" w:styleId="sun2">
    <w:name w:val="sun2"/>
    <w:basedOn w:val="default0"/>
    <w:rsid w:val="00A87D6E"/>
    <w:rPr>
      <w:rFonts w:cs="Lohit Hindi"/>
    </w:rPr>
  </w:style>
  <w:style w:type="paragraph" w:customStyle="1" w:styleId="sun3">
    <w:name w:val="sun3"/>
    <w:basedOn w:val="default0"/>
    <w:rsid w:val="00A87D6E"/>
    <w:rPr>
      <w:rFonts w:cs="Lohit Hindi"/>
    </w:rPr>
  </w:style>
  <w:style w:type="paragraph" w:customStyle="1" w:styleId="earth1">
    <w:name w:val="earth1"/>
    <w:basedOn w:val="default0"/>
    <w:rsid w:val="00A87D6E"/>
    <w:rPr>
      <w:rFonts w:cs="Lohit Hindi"/>
    </w:rPr>
  </w:style>
  <w:style w:type="paragraph" w:customStyle="1" w:styleId="earth2">
    <w:name w:val="earth2"/>
    <w:basedOn w:val="default0"/>
    <w:rsid w:val="00A87D6E"/>
    <w:rPr>
      <w:rFonts w:cs="Lohit Hindi"/>
    </w:rPr>
  </w:style>
  <w:style w:type="paragraph" w:customStyle="1" w:styleId="earth3">
    <w:name w:val="earth3"/>
    <w:basedOn w:val="default0"/>
    <w:rsid w:val="00A87D6E"/>
    <w:rPr>
      <w:rFonts w:cs="Lohit Hindi"/>
    </w:rPr>
  </w:style>
  <w:style w:type="paragraph" w:customStyle="1" w:styleId="green1">
    <w:name w:val="green1"/>
    <w:basedOn w:val="default0"/>
    <w:rsid w:val="00A87D6E"/>
    <w:rPr>
      <w:rFonts w:cs="Lohit Hindi"/>
    </w:rPr>
  </w:style>
  <w:style w:type="paragraph" w:customStyle="1" w:styleId="green2">
    <w:name w:val="green2"/>
    <w:basedOn w:val="default0"/>
    <w:rsid w:val="00A87D6E"/>
    <w:rPr>
      <w:rFonts w:cs="Lohit Hindi"/>
    </w:rPr>
  </w:style>
  <w:style w:type="paragraph" w:customStyle="1" w:styleId="green3">
    <w:name w:val="green3"/>
    <w:basedOn w:val="default0"/>
    <w:rsid w:val="00A87D6E"/>
    <w:rPr>
      <w:rFonts w:cs="Lohit Hindi"/>
    </w:rPr>
  </w:style>
  <w:style w:type="paragraph" w:customStyle="1" w:styleId="seetang1">
    <w:name w:val="seetang1"/>
    <w:basedOn w:val="default0"/>
    <w:rsid w:val="00A87D6E"/>
    <w:rPr>
      <w:rFonts w:cs="Lohit Hindi"/>
    </w:rPr>
  </w:style>
  <w:style w:type="paragraph" w:customStyle="1" w:styleId="seetang2">
    <w:name w:val="seetang2"/>
    <w:basedOn w:val="default0"/>
    <w:rsid w:val="00A87D6E"/>
    <w:rPr>
      <w:rFonts w:cs="Lohit Hindi"/>
    </w:rPr>
  </w:style>
  <w:style w:type="paragraph" w:customStyle="1" w:styleId="seetang3">
    <w:name w:val="seetang3"/>
    <w:basedOn w:val="default0"/>
    <w:rsid w:val="00A87D6E"/>
    <w:rPr>
      <w:rFonts w:cs="Lohit Hindi"/>
    </w:rPr>
  </w:style>
  <w:style w:type="paragraph" w:customStyle="1" w:styleId="lightblue1">
    <w:name w:val="lightblue1"/>
    <w:basedOn w:val="default0"/>
    <w:rsid w:val="00A87D6E"/>
    <w:rPr>
      <w:rFonts w:cs="Lohit Hindi"/>
    </w:rPr>
  </w:style>
  <w:style w:type="paragraph" w:customStyle="1" w:styleId="lightblue2">
    <w:name w:val="lightblue2"/>
    <w:basedOn w:val="default0"/>
    <w:rsid w:val="00A87D6E"/>
    <w:rPr>
      <w:rFonts w:cs="Lohit Hindi"/>
    </w:rPr>
  </w:style>
  <w:style w:type="paragraph" w:customStyle="1" w:styleId="lightblue3">
    <w:name w:val="lightblue3"/>
    <w:basedOn w:val="default0"/>
    <w:rsid w:val="00A87D6E"/>
    <w:rPr>
      <w:rFonts w:cs="Lohit Hindi"/>
    </w:rPr>
  </w:style>
  <w:style w:type="paragraph" w:customStyle="1" w:styleId="yellow1">
    <w:name w:val="yellow1"/>
    <w:basedOn w:val="default0"/>
    <w:rsid w:val="00A87D6E"/>
    <w:rPr>
      <w:rFonts w:cs="Lohit Hindi"/>
    </w:rPr>
  </w:style>
  <w:style w:type="paragraph" w:customStyle="1" w:styleId="yellow2">
    <w:name w:val="yellow2"/>
    <w:basedOn w:val="default0"/>
    <w:rsid w:val="00A87D6E"/>
    <w:rPr>
      <w:rFonts w:cs="Lohit Hindi"/>
    </w:rPr>
  </w:style>
  <w:style w:type="paragraph" w:customStyle="1" w:styleId="yellow3">
    <w:name w:val="yellow3"/>
    <w:basedOn w:val="default0"/>
    <w:rsid w:val="00A87D6E"/>
    <w:rPr>
      <w:rFonts w:cs="Lohit Hindi"/>
    </w:rPr>
  </w:style>
  <w:style w:type="paragraph" w:customStyle="1" w:styleId="Backgroundobjects">
    <w:name w:val="Background objects"/>
    <w:rsid w:val="00A87D6E"/>
    <w:pPr>
      <w:suppressAutoHyphens/>
    </w:pPr>
    <w:rPr>
      <w:rFonts w:eastAsia="DejaVu Sans" w:cs="Arial"/>
      <w:color w:val="00000A"/>
      <w:kern w:val="1"/>
      <w:sz w:val="24"/>
      <w:szCs w:val="24"/>
      <w:lang w:val="en-US" w:eastAsia="zh-CN" w:bidi="hi-IN"/>
    </w:rPr>
  </w:style>
  <w:style w:type="paragraph" w:customStyle="1" w:styleId="Background">
    <w:name w:val="Background"/>
    <w:rsid w:val="00A87D6E"/>
    <w:pPr>
      <w:suppressAutoHyphens/>
    </w:pPr>
    <w:rPr>
      <w:rFonts w:eastAsia="DejaVu Sans" w:cs="Arial"/>
      <w:color w:val="00000A"/>
      <w:kern w:val="1"/>
      <w:sz w:val="24"/>
      <w:szCs w:val="24"/>
      <w:lang w:val="en-US" w:eastAsia="zh-CN" w:bidi="hi-IN"/>
    </w:rPr>
  </w:style>
  <w:style w:type="paragraph" w:customStyle="1" w:styleId="Notes">
    <w:name w:val="Notes"/>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Outline1">
    <w:name w:val="Outline 1"/>
    <w:rsid w:val="00A87D6E"/>
    <w:pPr>
      <w:suppressAutoHyphens/>
      <w:spacing w:after="283"/>
    </w:pPr>
    <w:rPr>
      <w:rFonts w:ascii="Lohit Hindi" w:eastAsia="DejaVu Sans" w:hAnsi="Lohit Hindi" w:cs="Arial"/>
      <w:color w:val="00000A"/>
      <w:kern w:val="1"/>
      <w:sz w:val="64"/>
      <w:szCs w:val="24"/>
      <w:lang w:val="en-US" w:eastAsia="zh-CN" w:bidi="hi-IN"/>
    </w:rPr>
  </w:style>
  <w:style w:type="paragraph" w:customStyle="1" w:styleId="Outline2">
    <w:name w:val="Outline 2"/>
    <w:basedOn w:val="Outline1"/>
    <w:rsid w:val="00A87D6E"/>
    <w:pPr>
      <w:spacing w:after="227"/>
    </w:pPr>
    <w:rPr>
      <w:rFonts w:cs="Lohit Hindi"/>
      <w:sz w:val="48"/>
    </w:rPr>
  </w:style>
  <w:style w:type="paragraph" w:customStyle="1" w:styleId="Outline3">
    <w:name w:val="Outline 3"/>
    <w:basedOn w:val="Outline2"/>
    <w:rsid w:val="00A87D6E"/>
    <w:pPr>
      <w:spacing w:after="170"/>
    </w:pPr>
    <w:rPr>
      <w:sz w:val="40"/>
    </w:rPr>
  </w:style>
  <w:style w:type="paragraph" w:customStyle="1" w:styleId="Outline4">
    <w:name w:val="Outline 4"/>
    <w:basedOn w:val="Outline3"/>
    <w:rsid w:val="00A87D6E"/>
    <w:pPr>
      <w:spacing w:after="113"/>
    </w:pPr>
  </w:style>
  <w:style w:type="paragraph" w:customStyle="1" w:styleId="Outline5">
    <w:name w:val="Outline 5"/>
    <w:basedOn w:val="Outline4"/>
    <w:rsid w:val="00A87D6E"/>
    <w:pPr>
      <w:spacing w:after="57"/>
    </w:pPr>
  </w:style>
  <w:style w:type="paragraph" w:customStyle="1" w:styleId="Outline6">
    <w:name w:val="Outline 6"/>
    <w:basedOn w:val="Outline5"/>
    <w:rsid w:val="00A87D6E"/>
  </w:style>
  <w:style w:type="paragraph" w:customStyle="1" w:styleId="Outline7">
    <w:name w:val="Outline 7"/>
    <w:basedOn w:val="Outline6"/>
    <w:rsid w:val="00A87D6E"/>
  </w:style>
  <w:style w:type="paragraph" w:customStyle="1" w:styleId="Outline8">
    <w:name w:val="Outline 8"/>
    <w:basedOn w:val="Outline7"/>
    <w:rsid w:val="00A87D6E"/>
  </w:style>
  <w:style w:type="paragraph" w:customStyle="1" w:styleId="Outline9">
    <w:name w:val="Outline 9"/>
    <w:basedOn w:val="Outline8"/>
    <w:rsid w:val="00A87D6E"/>
  </w:style>
  <w:style w:type="paragraph" w:customStyle="1" w:styleId="EnblancoLTGliederung1">
    <w:name w:val="En blanco~LT~Gliederung 1"/>
    <w:rsid w:val="00A87D6E"/>
    <w:pPr>
      <w:suppressAutoHyphens/>
      <w:spacing w:after="283"/>
    </w:pPr>
    <w:rPr>
      <w:rFonts w:ascii="Lohit Hindi" w:eastAsia="DejaVu Sans" w:hAnsi="Lohit Hindi" w:cs="Arial"/>
      <w:color w:val="00000A"/>
      <w:kern w:val="1"/>
      <w:sz w:val="64"/>
      <w:szCs w:val="24"/>
      <w:lang w:val="en-US" w:eastAsia="zh-CN" w:bidi="hi-IN"/>
    </w:rPr>
  </w:style>
  <w:style w:type="paragraph" w:customStyle="1" w:styleId="EnblancoLTGliederung2">
    <w:name w:val="En blanco~LT~Gliederung 2"/>
    <w:basedOn w:val="EnblancoLTGliederung1"/>
    <w:rsid w:val="00A87D6E"/>
    <w:pPr>
      <w:spacing w:after="227"/>
    </w:pPr>
    <w:rPr>
      <w:rFonts w:cs="Lohit Hindi"/>
      <w:sz w:val="48"/>
    </w:rPr>
  </w:style>
  <w:style w:type="paragraph" w:customStyle="1" w:styleId="EnblancoLTGliederung3">
    <w:name w:val="En blanco~LT~Gliederung 3"/>
    <w:basedOn w:val="EnblancoLTGliederung2"/>
    <w:rsid w:val="00A87D6E"/>
    <w:pPr>
      <w:spacing w:after="170"/>
    </w:pPr>
    <w:rPr>
      <w:sz w:val="40"/>
    </w:rPr>
  </w:style>
  <w:style w:type="paragraph" w:customStyle="1" w:styleId="EnblancoLTGliederung4">
    <w:name w:val="En blanco~LT~Gliederung 4"/>
    <w:basedOn w:val="EnblancoLTGliederung3"/>
    <w:rsid w:val="00A87D6E"/>
    <w:pPr>
      <w:spacing w:after="113"/>
    </w:pPr>
  </w:style>
  <w:style w:type="paragraph" w:customStyle="1" w:styleId="EnblancoLTGliederung5">
    <w:name w:val="En blanco~LT~Gliederung 5"/>
    <w:basedOn w:val="EnblancoLTGliederung4"/>
    <w:rsid w:val="00A87D6E"/>
    <w:pPr>
      <w:spacing w:after="57"/>
    </w:pPr>
  </w:style>
  <w:style w:type="paragraph" w:customStyle="1" w:styleId="EnblancoLTGliederung6">
    <w:name w:val="En blanco~LT~Gliederung 6"/>
    <w:basedOn w:val="EnblancoLTGliederung5"/>
    <w:rsid w:val="00A87D6E"/>
  </w:style>
  <w:style w:type="paragraph" w:customStyle="1" w:styleId="EnblancoLTGliederung7">
    <w:name w:val="En blanco~LT~Gliederung 7"/>
    <w:basedOn w:val="EnblancoLTGliederung6"/>
    <w:rsid w:val="00A87D6E"/>
  </w:style>
  <w:style w:type="paragraph" w:customStyle="1" w:styleId="EnblancoLTGliederung8">
    <w:name w:val="En blanco~LT~Gliederung 8"/>
    <w:basedOn w:val="EnblancoLTGliederung7"/>
    <w:rsid w:val="00A87D6E"/>
  </w:style>
  <w:style w:type="paragraph" w:customStyle="1" w:styleId="EnblancoLTGliederung9">
    <w:name w:val="En blanco~LT~Gliederung 9"/>
    <w:basedOn w:val="EnblancoLTGliederung8"/>
    <w:rsid w:val="00A87D6E"/>
  </w:style>
  <w:style w:type="paragraph" w:customStyle="1" w:styleId="EnblancoLTTitel">
    <w:name w:val="En blanco~LT~Titel"/>
    <w:rsid w:val="00A87D6E"/>
    <w:pPr>
      <w:suppressAutoHyphens/>
    </w:pPr>
    <w:rPr>
      <w:rFonts w:ascii="Lohit Hindi" w:eastAsia="DejaVu Sans" w:hAnsi="Lohit Hindi" w:cs="Arial"/>
      <w:color w:val="00000A"/>
      <w:kern w:val="1"/>
      <w:sz w:val="36"/>
      <w:szCs w:val="24"/>
      <w:lang w:val="en-US" w:eastAsia="zh-CN" w:bidi="hi-IN"/>
    </w:rPr>
  </w:style>
  <w:style w:type="paragraph" w:customStyle="1" w:styleId="EnblancoLTUntertitel">
    <w:name w:val="En blanco~LT~Untertitel"/>
    <w:rsid w:val="00A87D6E"/>
    <w:pPr>
      <w:suppressAutoHyphens/>
      <w:jc w:val="center"/>
    </w:pPr>
    <w:rPr>
      <w:rFonts w:ascii="Lohit Hindi" w:eastAsia="DejaVu Sans" w:hAnsi="Lohit Hindi" w:cs="Arial"/>
      <w:color w:val="00000A"/>
      <w:kern w:val="1"/>
      <w:sz w:val="64"/>
      <w:szCs w:val="24"/>
      <w:lang w:val="en-US" w:eastAsia="zh-CN" w:bidi="hi-IN"/>
    </w:rPr>
  </w:style>
  <w:style w:type="paragraph" w:customStyle="1" w:styleId="EnblancoLTNotizen">
    <w:name w:val="En blanco~LT~Notizen"/>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EnblancoLTHintergrundobjekte">
    <w:name w:val="En blanco~LT~Hintergrundobjekte"/>
    <w:rsid w:val="00A87D6E"/>
    <w:pPr>
      <w:suppressAutoHyphens/>
    </w:pPr>
    <w:rPr>
      <w:rFonts w:eastAsia="DejaVu Sans" w:cs="Arial"/>
      <w:color w:val="00000A"/>
      <w:kern w:val="1"/>
      <w:sz w:val="24"/>
      <w:szCs w:val="24"/>
      <w:lang w:val="en-US" w:eastAsia="zh-CN" w:bidi="hi-IN"/>
    </w:rPr>
  </w:style>
  <w:style w:type="paragraph" w:customStyle="1" w:styleId="EnblancoLTHintergrund">
    <w:name w:val="En blanco~LT~Hintergrund"/>
    <w:rsid w:val="00A87D6E"/>
    <w:pPr>
      <w:suppressAutoHyphens/>
    </w:pPr>
    <w:rPr>
      <w:rFonts w:eastAsia="DejaVu Sans" w:cs="Arial"/>
      <w:color w:val="00000A"/>
      <w:kern w:val="1"/>
      <w:sz w:val="24"/>
      <w:szCs w:val="24"/>
      <w:lang w:val="en-US" w:eastAsia="zh-CN" w:bidi="hi-IN"/>
    </w:rPr>
  </w:style>
  <w:style w:type="paragraph" w:customStyle="1" w:styleId="BlankSlideLTGliederung1">
    <w:name w:val="Blank Slide~LT~Gliederung 1"/>
    <w:rsid w:val="00A87D6E"/>
    <w:pPr>
      <w:suppressAutoHyphens/>
      <w:spacing w:after="283"/>
    </w:pPr>
    <w:rPr>
      <w:rFonts w:ascii="DejaVu Sans" w:eastAsia="DejaVu Sans" w:hAnsi="DejaVu Sans" w:cs="Arial"/>
      <w:color w:val="00000A"/>
      <w:kern w:val="1"/>
      <w:sz w:val="36"/>
      <w:szCs w:val="24"/>
      <w:lang w:val="en-US" w:eastAsia="zh-CN" w:bidi="hi-IN"/>
    </w:rPr>
  </w:style>
  <w:style w:type="paragraph" w:customStyle="1" w:styleId="BlankSlideLTGliederung2">
    <w:name w:val="Blank Slide~LT~Gliederung 2"/>
    <w:basedOn w:val="BlankSlideLTGliederung1"/>
    <w:rsid w:val="00A87D6E"/>
    <w:pPr>
      <w:spacing w:after="227"/>
    </w:pPr>
    <w:rPr>
      <w:rFonts w:cs="DejaVu Sans"/>
    </w:rPr>
  </w:style>
  <w:style w:type="paragraph" w:customStyle="1" w:styleId="BlankSlideLTGliederung3">
    <w:name w:val="Blank Slide~LT~Gliederung 3"/>
    <w:basedOn w:val="BlankSlideLTGliederung2"/>
    <w:rsid w:val="00A87D6E"/>
    <w:pPr>
      <w:spacing w:after="170"/>
    </w:pPr>
  </w:style>
  <w:style w:type="paragraph" w:customStyle="1" w:styleId="BlankSlideLTGliederung4">
    <w:name w:val="Blank Slide~LT~Gliederung 4"/>
    <w:basedOn w:val="BlankSlideLTGliederung3"/>
    <w:rsid w:val="00A87D6E"/>
    <w:pPr>
      <w:spacing w:after="113"/>
    </w:pPr>
  </w:style>
  <w:style w:type="paragraph" w:customStyle="1" w:styleId="BlankSlideLTGliederung5">
    <w:name w:val="Blank Slide~LT~Gliederung 5"/>
    <w:basedOn w:val="BlankSlideLTGliederung4"/>
    <w:rsid w:val="00A87D6E"/>
    <w:pPr>
      <w:spacing w:after="57"/>
    </w:pPr>
    <w:rPr>
      <w:sz w:val="40"/>
    </w:rPr>
  </w:style>
  <w:style w:type="paragraph" w:customStyle="1" w:styleId="BlankSlideLTGliederung6">
    <w:name w:val="Blank Slide~LT~Gliederung 6"/>
    <w:basedOn w:val="BlankSlideLTGliederung5"/>
    <w:rsid w:val="00A87D6E"/>
  </w:style>
  <w:style w:type="paragraph" w:customStyle="1" w:styleId="BlankSlideLTGliederung7">
    <w:name w:val="Blank Slide~LT~Gliederung 7"/>
    <w:basedOn w:val="BlankSlideLTGliederung6"/>
    <w:rsid w:val="00A87D6E"/>
  </w:style>
  <w:style w:type="paragraph" w:customStyle="1" w:styleId="BlankSlideLTGliederung8">
    <w:name w:val="Blank Slide~LT~Gliederung 8"/>
    <w:basedOn w:val="BlankSlideLTGliederung7"/>
    <w:rsid w:val="00A87D6E"/>
  </w:style>
  <w:style w:type="paragraph" w:customStyle="1" w:styleId="BlankSlideLTGliederung9">
    <w:name w:val="Blank Slide~LT~Gliederung 9"/>
    <w:basedOn w:val="BlankSlideLTGliederung8"/>
    <w:rsid w:val="00A87D6E"/>
  </w:style>
  <w:style w:type="paragraph" w:customStyle="1" w:styleId="BlankSlideLTTitel">
    <w:name w:val="Blank Slide~LT~Titel"/>
    <w:rsid w:val="00A87D6E"/>
    <w:pPr>
      <w:suppressAutoHyphens/>
    </w:pPr>
    <w:rPr>
      <w:rFonts w:ascii="DejaVu Sans" w:eastAsia="DejaVu Sans" w:hAnsi="DejaVu Sans" w:cs="Arial"/>
      <w:color w:val="00000A"/>
      <w:kern w:val="1"/>
      <w:sz w:val="36"/>
      <w:szCs w:val="24"/>
      <w:lang w:val="en-US" w:eastAsia="zh-CN" w:bidi="hi-IN"/>
    </w:rPr>
  </w:style>
  <w:style w:type="paragraph" w:customStyle="1" w:styleId="BlankSlideLTUntertitel">
    <w:name w:val="Blank Slide~LT~Untertitel"/>
    <w:rsid w:val="00A87D6E"/>
    <w:pPr>
      <w:suppressAutoHyphens/>
      <w:jc w:val="center"/>
    </w:pPr>
    <w:rPr>
      <w:rFonts w:ascii="Lohit Hindi" w:eastAsia="DejaVu Sans" w:hAnsi="Lohit Hindi" w:cs="Arial"/>
      <w:color w:val="00000A"/>
      <w:kern w:val="1"/>
      <w:sz w:val="64"/>
      <w:szCs w:val="24"/>
      <w:lang w:val="en-US" w:eastAsia="zh-CN" w:bidi="hi-IN"/>
    </w:rPr>
  </w:style>
  <w:style w:type="paragraph" w:customStyle="1" w:styleId="BlankSlideLTNotizen">
    <w:name w:val="Blank Slide~LT~Notizen"/>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BlankSlideLTHintergrundobjekte">
    <w:name w:val="Blank Slide~LT~Hintergrundobjekte"/>
    <w:rsid w:val="00A87D6E"/>
    <w:pPr>
      <w:suppressAutoHyphens/>
    </w:pPr>
    <w:rPr>
      <w:rFonts w:eastAsia="DejaVu Sans" w:cs="Arial"/>
      <w:color w:val="00000A"/>
      <w:kern w:val="1"/>
      <w:sz w:val="24"/>
      <w:szCs w:val="24"/>
      <w:lang w:val="en-US" w:eastAsia="zh-CN" w:bidi="hi-IN"/>
    </w:rPr>
  </w:style>
  <w:style w:type="paragraph" w:customStyle="1" w:styleId="BlankSlideLTHintergrund">
    <w:name w:val="Blank Slide~LT~Hintergrund"/>
    <w:rsid w:val="00A87D6E"/>
    <w:pPr>
      <w:suppressAutoHyphens/>
    </w:pPr>
    <w:rPr>
      <w:rFonts w:eastAsia="DejaVu Sans" w:cs="Arial"/>
      <w:color w:val="00000A"/>
      <w:kern w:val="1"/>
      <w:sz w:val="24"/>
      <w:szCs w:val="24"/>
      <w:lang w:val="en-US" w:eastAsia="zh-CN" w:bidi="hi-IN"/>
    </w:rPr>
  </w:style>
  <w:style w:type="paragraph" w:customStyle="1" w:styleId="DefaultLTGliederung1">
    <w:name w:val="Default~LT~Gliederung 1"/>
    <w:rsid w:val="00A87D6E"/>
    <w:pPr>
      <w:suppressAutoHyphens/>
      <w:spacing w:after="283"/>
    </w:pPr>
    <w:rPr>
      <w:rFonts w:ascii="DejaVu Sans" w:eastAsia="DejaVu Sans" w:hAnsi="DejaVu Sans" w:cs="Arial"/>
      <w:color w:val="00000A"/>
      <w:kern w:val="1"/>
      <w:sz w:val="36"/>
      <w:szCs w:val="24"/>
      <w:lang w:val="en-US" w:eastAsia="zh-CN" w:bidi="hi-IN"/>
    </w:rPr>
  </w:style>
  <w:style w:type="paragraph" w:customStyle="1" w:styleId="DefaultLTGliederung2">
    <w:name w:val="Default~LT~Gliederung 2"/>
    <w:basedOn w:val="DefaultLTGliederung1"/>
    <w:rsid w:val="00A87D6E"/>
    <w:pPr>
      <w:spacing w:after="227"/>
    </w:pPr>
    <w:rPr>
      <w:rFonts w:cs="DejaVu Sans"/>
    </w:rPr>
  </w:style>
  <w:style w:type="paragraph" w:customStyle="1" w:styleId="DefaultLTGliederung3">
    <w:name w:val="Default~LT~Gliederung 3"/>
    <w:basedOn w:val="DefaultLTGliederung2"/>
    <w:rsid w:val="00A87D6E"/>
    <w:pPr>
      <w:spacing w:after="170"/>
    </w:pPr>
  </w:style>
  <w:style w:type="paragraph" w:customStyle="1" w:styleId="DefaultLTGliederung4">
    <w:name w:val="Default~LT~Gliederung 4"/>
    <w:basedOn w:val="DefaultLTGliederung3"/>
    <w:rsid w:val="00A87D6E"/>
    <w:pPr>
      <w:spacing w:after="113"/>
    </w:pPr>
  </w:style>
  <w:style w:type="paragraph" w:customStyle="1" w:styleId="DefaultLTGliederung5">
    <w:name w:val="Default~LT~Gliederung 5"/>
    <w:basedOn w:val="DefaultLTGliederung4"/>
    <w:rsid w:val="00A87D6E"/>
    <w:pPr>
      <w:spacing w:after="57"/>
    </w:pPr>
    <w:rPr>
      <w:sz w:val="40"/>
    </w:rPr>
  </w:style>
  <w:style w:type="paragraph" w:customStyle="1" w:styleId="DefaultLTGliederung6">
    <w:name w:val="Default~LT~Gliederung 6"/>
    <w:basedOn w:val="DefaultLTGliederung5"/>
    <w:rsid w:val="00A87D6E"/>
  </w:style>
  <w:style w:type="paragraph" w:customStyle="1" w:styleId="DefaultLTGliederung7">
    <w:name w:val="Default~LT~Gliederung 7"/>
    <w:basedOn w:val="DefaultLTGliederung6"/>
    <w:rsid w:val="00A87D6E"/>
  </w:style>
  <w:style w:type="paragraph" w:customStyle="1" w:styleId="DefaultLTGliederung8">
    <w:name w:val="Default~LT~Gliederung 8"/>
    <w:basedOn w:val="DefaultLTGliederung7"/>
    <w:rsid w:val="00A87D6E"/>
  </w:style>
  <w:style w:type="paragraph" w:customStyle="1" w:styleId="DefaultLTGliederung9">
    <w:name w:val="Default~LT~Gliederung 9"/>
    <w:basedOn w:val="DefaultLTGliederung8"/>
    <w:rsid w:val="00A87D6E"/>
  </w:style>
  <w:style w:type="paragraph" w:customStyle="1" w:styleId="DefaultLTTitel">
    <w:name w:val="Default~LT~Titel"/>
    <w:rsid w:val="00A87D6E"/>
    <w:pPr>
      <w:suppressAutoHyphens/>
    </w:pPr>
    <w:rPr>
      <w:rFonts w:ascii="DejaVu Sans" w:eastAsia="DejaVu Sans" w:hAnsi="DejaVu Sans" w:cs="Arial"/>
      <w:color w:val="00000A"/>
      <w:kern w:val="1"/>
      <w:sz w:val="36"/>
      <w:szCs w:val="24"/>
      <w:lang w:val="en-US" w:eastAsia="zh-CN" w:bidi="hi-IN"/>
    </w:rPr>
  </w:style>
  <w:style w:type="paragraph" w:customStyle="1" w:styleId="DefaultLTUntertitel">
    <w:name w:val="Default~LT~Untertitel"/>
    <w:rsid w:val="00A87D6E"/>
    <w:pPr>
      <w:suppressAutoHyphens/>
      <w:jc w:val="center"/>
    </w:pPr>
    <w:rPr>
      <w:rFonts w:ascii="Lohit Hindi" w:eastAsia="DejaVu Sans" w:hAnsi="Lohit Hindi" w:cs="Arial"/>
      <w:color w:val="00000A"/>
      <w:kern w:val="1"/>
      <w:sz w:val="64"/>
      <w:szCs w:val="24"/>
      <w:lang w:val="en-US" w:eastAsia="zh-CN" w:bidi="hi-IN"/>
    </w:rPr>
  </w:style>
  <w:style w:type="paragraph" w:customStyle="1" w:styleId="DefaultLTNotizen">
    <w:name w:val="Default~LT~Notizen"/>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DefaultLTHintergrundobjekte">
    <w:name w:val="Default~LT~Hintergrundobjekte"/>
    <w:rsid w:val="00A87D6E"/>
    <w:pPr>
      <w:suppressAutoHyphens/>
    </w:pPr>
    <w:rPr>
      <w:rFonts w:eastAsia="DejaVu Sans" w:cs="Arial"/>
      <w:color w:val="00000A"/>
      <w:kern w:val="1"/>
      <w:sz w:val="24"/>
      <w:szCs w:val="24"/>
      <w:lang w:val="en-US" w:eastAsia="zh-CN" w:bidi="hi-IN"/>
    </w:rPr>
  </w:style>
  <w:style w:type="paragraph" w:customStyle="1" w:styleId="DefaultLTHintergrund">
    <w:name w:val="Default~LT~Hintergrund"/>
    <w:rsid w:val="00A87D6E"/>
    <w:pPr>
      <w:suppressAutoHyphens/>
    </w:pPr>
    <w:rPr>
      <w:rFonts w:eastAsia="DejaVu Sans" w:cs="Arial"/>
      <w:color w:val="00000A"/>
      <w:kern w:val="1"/>
      <w:sz w:val="24"/>
      <w:szCs w:val="24"/>
      <w:lang w:val="en-US" w:eastAsia="zh-CN" w:bidi="hi-IN"/>
    </w:rPr>
  </w:style>
  <w:style w:type="paragraph" w:customStyle="1" w:styleId="TableContents">
    <w:name w:val="Table Contents"/>
    <w:basedOn w:val="Normal"/>
    <w:rsid w:val="00A87D6E"/>
    <w:pPr>
      <w:suppressLineNumbers/>
    </w:pPr>
  </w:style>
  <w:style w:type="paragraph" w:customStyle="1" w:styleId="TableHeading">
    <w:name w:val="Table Heading"/>
    <w:basedOn w:val="TableContents"/>
    <w:rsid w:val="00A87D6E"/>
    <w:pPr>
      <w:jc w:val="center"/>
    </w:pPr>
    <w:rPr>
      <w:b/>
      <w:bCs/>
    </w:rPr>
  </w:style>
  <w:style w:type="paragraph" w:customStyle="1" w:styleId="Textocomentario1">
    <w:name w:val="Texto comentario1"/>
    <w:basedOn w:val="Normal"/>
    <w:rsid w:val="00A87D6E"/>
    <w:rPr>
      <w:sz w:val="20"/>
    </w:rPr>
  </w:style>
  <w:style w:type="paragraph" w:styleId="Asuntodelcomentario">
    <w:name w:val="annotation subject"/>
    <w:basedOn w:val="Textocomentario1"/>
    <w:next w:val="Textocomentario1"/>
    <w:rsid w:val="00A87D6E"/>
    <w:rPr>
      <w:b/>
      <w:bCs/>
    </w:rPr>
  </w:style>
  <w:style w:type="paragraph" w:styleId="Textodeglobo">
    <w:name w:val="Balloon Text"/>
    <w:basedOn w:val="Normal"/>
    <w:rsid w:val="00A87D6E"/>
    <w:pPr>
      <w:spacing w:after="0"/>
    </w:pPr>
    <w:rPr>
      <w:rFonts w:ascii="Tahoma" w:hAnsi="Tahoma" w:cs="Tahoma"/>
      <w:sz w:val="16"/>
      <w:szCs w:val="16"/>
    </w:rPr>
  </w:style>
  <w:style w:type="paragraph" w:customStyle="1" w:styleId="Cuadrculamedia1-nfasis21">
    <w:name w:val="Cuadrícula media 1 - Énfasis 21"/>
    <w:basedOn w:val="Normal"/>
    <w:rsid w:val="00A87D6E"/>
    <w:pPr>
      <w:suppressAutoHyphens w:val="0"/>
      <w:spacing w:line="276" w:lineRule="auto"/>
      <w:ind w:left="720"/>
      <w:contextualSpacing/>
      <w:jc w:val="left"/>
    </w:pPr>
    <w:rPr>
      <w:rFonts w:ascii="Calibri" w:eastAsia="Calibri" w:hAnsi="Calibri" w:cs="Calibri"/>
      <w:color w:val="auto"/>
      <w:sz w:val="22"/>
      <w:szCs w:val="22"/>
    </w:rPr>
  </w:style>
  <w:style w:type="paragraph" w:customStyle="1" w:styleId="EndNoteBibliographyTitle">
    <w:name w:val="EndNote Bibliography Title"/>
    <w:basedOn w:val="Normal"/>
    <w:link w:val="EndNoteBibliographyTitleCar"/>
    <w:rsid w:val="006E289F"/>
    <w:pPr>
      <w:spacing w:after="0"/>
      <w:jc w:val="center"/>
    </w:pPr>
    <w:rPr>
      <w:noProof/>
    </w:rPr>
  </w:style>
  <w:style w:type="character" w:customStyle="1" w:styleId="TAMainTextCar">
    <w:name w:val="TA_Main_Text Car"/>
    <w:link w:val="TAMainText"/>
    <w:rsid w:val="006E289F"/>
    <w:rPr>
      <w:rFonts w:ascii="Times" w:hAnsi="Times" w:cs="Times"/>
      <w:color w:val="00000A"/>
      <w:kern w:val="1"/>
      <w:sz w:val="24"/>
      <w:lang w:val="en-US" w:eastAsia="zh-CN"/>
    </w:rPr>
  </w:style>
  <w:style w:type="character" w:customStyle="1" w:styleId="EndNoteBibliographyTitleCar">
    <w:name w:val="EndNote Bibliography Title Car"/>
    <w:link w:val="EndNoteBibliographyTitle"/>
    <w:rsid w:val="006E289F"/>
    <w:rPr>
      <w:rFonts w:ascii="Times" w:hAnsi="Times" w:cs="Times"/>
      <w:noProof/>
      <w:color w:val="00000A"/>
      <w:kern w:val="1"/>
      <w:sz w:val="24"/>
      <w:szCs w:val="24"/>
      <w:lang w:val="en-US" w:eastAsia="zh-CN"/>
    </w:rPr>
  </w:style>
  <w:style w:type="paragraph" w:customStyle="1" w:styleId="EndNoteBibliography">
    <w:name w:val="EndNote Bibliography"/>
    <w:basedOn w:val="Normal"/>
    <w:link w:val="EndNoteBibliographyCar"/>
    <w:rsid w:val="006E289F"/>
    <w:pPr>
      <w:jc w:val="left"/>
    </w:pPr>
    <w:rPr>
      <w:noProof/>
    </w:rPr>
  </w:style>
  <w:style w:type="character" w:customStyle="1" w:styleId="EndNoteBibliographyCar">
    <w:name w:val="EndNote Bibliography Car"/>
    <w:link w:val="EndNoteBibliography"/>
    <w:rsid w:val="006E289F"/>
    <w:rPr>
      <w:rFonts w:ascii="Times" w:hAnsi="Times" w:cs="Times"/>
      <w:noProof/>
      <w:color w:val="00000A"/>
      <w:kern w:val="1"/>
      <w:sz w:val="24"/>
      <w:szCs w:val="24"/>
      <w:lang w:val="en-US" w:eastAsia="zh-CN"/>
    </w:rPr>
  </w:style>
  <w:style w:type="paragraph" w:styleId="Textocomentario">
    <w:name w:val="annotation text"/>
    <w:basedOn w:val="Normal"/>
    <w:link w:val="TextocomentarioCar1"/>
    <w:uiPriority w:val="99"/>
    <w:semiHidden/>
    <w:unhideWhenUsed/>
    <w:rsid w:val="00A87D6E"/>
    <w:rPr>
      <w:sz w:val="20"/>
    </w:rPr>
  </w:style>
  <w:style w:type="character" w:customStyle="1" w:styleId="TextocomentarioCar1">
    <w:name w:val="Texto comentario Car1"/>
    <w:link w:val="Textocomentario"/>
    <w:uiPriority w:val="99"/>
    <w:semiHidden/>
    <w:rsid w:val="00A87D6E"/>
    <w:rPr>
      <w:rFonts w:ascii="Times" w:hAnsi="Times" w:cs="Times"/>
      <w:color w:val="00000A"/>
      <w:kern w:val="1"/>
      <w:lang w:val="en-US" w:eastAsia="zh-CN"/>
    </w:rPr>
  </w:style>
  <w:style w:type="character" w:styleId="Refdecomentario">
    <w:name w:val="annotation reference"/>
    <w:uiPriority w:val="99"/>
    <w:semiHidden/>
    <w:unhideWhenUsed/>
    <w:rsid w:val="00A87D6E"/>
    <w:rPr>
      <w:sz w:val="16"/>
      <w:szCs w:val="16"/>
    </w:rPr>
  </w:style>
  <w:style w:type="paragraph" w:styleId="NormalWeb">
    <w:name w:val="Normal (Web)"/>
    <w:basedOn w:val="Normal"/>
    <w:uiPriority w:val="99"/>
    <w:unhideWhenUsed/>
    <w:rsid w:val="005F22C5"/>
    <w:pPr>
      <w:suppressAutoHyphens w:val="0"/>
      <w:spacing w:before="100" w:beforeAutospacing="1" w:after="100" w:afterAutospacing="1"/>
      <w:jc w:val="left"/>
    </w:pPr>
    <w:rPr>
      <w:rFonts w:ascii="Times New Roman" w:eastAsia="MS Mincho" w:hAnsi="Times New Roman" w:cs="Times New Roman"/>
      <w:color w:val="auto"/>
      <w:kern w:val="0"/>
      <w:lang w:val="it-IT" w:eastAsia="it-IT"/>
    </w:rPr>
  </w:style>
  <w:style w:type="paragraph" w:styleId="Encabezado">
    <w:name w:val="header"/>
    <w:basedOn w:val="Normal"/>
    <w:link w:val="EncabezadoCar"/>
    <w:uiPriority w:val="99"/>
    <w:unhideWhenUsed/>
    <w:rsid w:val="005F22C5"/>
    <w:pPr>
      <w:tabs>
        <w:tab w:val="center" w:pos="4819"/>
        <w:tab w:val="right" w:pos="9638"/>
      </w:tabs>
      <w:spacing w:after="0"/>
    </w:pPr>
  </w:style>
  <w:style w:type="character" w:customStyle="1" w:styleId="EncabezadoCar">
    <w:name w:val="Encabezado Car"/>
    <w:link w:val="Encabezado"/>
    <w:uiPriority w:val="99"/>
    <w:rsid w:val="005F22C5"/>
    <w:rPr>
      <w:rFonts w:ascii="Times" w:hAnsi="Times" w:cs="Times"/>
      <w:color w:val="00000A"/>
      <w:kern w:val="1"/>
      <w:sz w:val="24"/>
      <w:lang w:val="en-US" w:eastAsia="zh-CN"/>
    </w:rPr>
  </w:style>
  <w:style w:type="character" w:styleId="Textodelmarcadordeposicin">
    <w:name w:val="Placeholder Text"/>
    <w:basedOn w:val="Fuentedeprrafopredeter"/>
    <w:uiPriority w:val="99"/>
    <w:semiHidden/>
    <w:rsid w:val="00056969"/>
    <w:rPr>
      <w:color w:val="808080"/>
    </w:rPr>
  </w:style>
  <w:style w:type="paragraph" w:styleId="Prrafodelista">
    <w:name w:val="List Paragraph"/>
    <w:basedOn w:val="Normal"/>
    <w:uiPriority w:val="34"/>
    <w:qFormat/>
    <w:rsid w:val="00BA30C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87D6E"/>
    <w:pPr>
      <w:suppressAutoHyphens/>
      <w:spacing w:after="200"/>
      <w:jc w:val="both"/>
    </w:pPr>
    <w:rPr>
      <w:rFonts w:ascii="Times" w:hAnsi="Times" w:cs="Times"/>
      <w:color w:val="00000A"/>
      <w:kern w:val="1"/>
      <w:sz w:val="24"/>
      <w:szCs w:val="24"/>
      <w:lang w:val="en-US" w:eastAsia="zh-C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A87D6E"/>
    <w:rPr>
      <w:sz w:val="21"/>
      <w:szCs w:val="21"/>
    </w:rPr>
  </w:style>
  <w:style w:type="character" w:customStyle="1" w:styleId="WW8Num1z1">
    <w:name w:val="WW8Num1z1"/>
    <w:rsid w:val="00A87D6E"/>
  </w:style>
  <w:style w:type="character" w:customStyle="1" w:styleId="WW8Num1z2">
    <w:name w:val="WW8Num1z2"/>
    <w:rsid w:val="00A87D6E"/>
  </w:style>
  <w:style w:type="character" w:customStyle="1" w:styleId="WW8Num1z3">
    <w:name w:val="WW8Num1z3"/>
    <w:rsid w:val="00A87D6E"/>
  </w:style>
  <w:style w:type="character" w:customStyle="1" w:styleId="WW8Num1z4">
    <w:name w:val="WW8Num1z4"/>
    <w:rsid w:val="00A87D6E"/>
  </w:style>
  <w:style w:type="character" w:customStyle="1" w:styleId="WW8Num1z5">
    <w:name w:val="WW8Num1z5"/>
    <w:rsid w:val="00A87D6E"/>
  </w:style>
  <w:style w:type="character" w:customStyle="1" w:styleId="WW8Num1z6">
    <w:name w:val="WW8Num1z6"/>
    <w:rsid w:val="00A87D6E"/>
  </w:style>
  <w:style w:type="character" w:customStyle="1" w:styleId="WW8Num1z7">
    <w:name w:val="WW8Num1z7"/>
    <w:rsid w:val="00A87D6E"/>
  </w:style>
  <w:style w:type="character" w:customStyle="1" w:styleId="WW8Num1z8">
    <w:name w:val="WW8Num1z8"/>
    <w:rsid w:val="00A87D6E"/>
  </w:style>
  <w:style w:type="character" w:customStyle="1" w:styleId="WW8Num2z0">
    <w:name w:val="WW8Num2z0"/>
    <w:rsid w:val="00A87D6E"/>
  </w:style>
  <w:style w:type="character" w:customStyle="1" w:styleId="WW8Num2z1">
    <w:name w:val="WW8Num2z1"/>
    <w:rsid w:val="00A87D6E"/>
  </w:style>
  <w:style w:type="character" w:customStyle="1" w:styleId="WW8Num2z2">
    <w:name w:val="WW8Num2z2"/>
    <w:rsid w:val="00A87D6E"/>
  </w:style>
  <w:style w:type="character" w:customStyle="1" w:styleId="WW8Num2z3">
    <w:name w:val="WW8Num2z3"/>
    <w:rsid w:val="00A87D6E"/>
  </w:style>
  <w:style w:type="character" w:customStyle="1" w:styleId="WW8Num2z4">
    <w:name w:val="WW8Num2z4"/>
    <w:rsid w:val="00A87D6E"/>
  </w:style>
  <w:style w:type="character" w:customStyle="1" w:styleId="WW8Num2z5">
    <w:name w:val="WW8Num2z5"/>
    <w:rsid w:val="00A87D6E"/>
  </w:style>
  <w:style w:type="character" w:customStyle="1" w:styleId="WW8Num2z6">
    <w:name w:val="WW8Num2z6"/>
    <w:rsid w:val="00A87D6E"/>
  </w:style>
  <w:style w:type="character" w:customStyle="1" w:styleId="WW8Num2z7">
    <w:name w:val="WW8Num2z7"/>
    <w:rsid w:val="00A87D6E"/>
  </w:style>
  <w:style w:type="character" w:customStyle="1" w:styleId="WW8Num2z8">
    <w:name w:val="WW8Num2z8"/>
    <w:rsid w:val="00A87D6E"/>
  </w:style>
  <w:style w:type="character" w:customStyle="1" w:styleId="WW8Num3z0">
    <w:name w:val="WW8Num3z0"/>
    <w:rsid w:val="00A87D6E"/>
  </w:style>
  <w:style w:type="character" w:customStyle="1" w:styleId="WW8Num3z1">
    <w:name w:val="WW8Num3z1"/>
    <w:rsid w:val="00A87D6E"/>
  </w:style>
  <w:style w:type="character" w:customStyle="1" w:styleId="WW8Num3z2">
    <w:name w:val="WW8Num3z2"/>
    <w:rsid w:val="00A87D6E"/>
  </w:style>
  <w:style w:type="character" w:customStyle="1" w:styleId="WW8Num3z3">
    <w:name w:val="WW8Num3z3"/>
    <w:rsid w:val="00A87D6E"/>
  </w:style>
  <w:style w:type="character" w:customStyle="1" w:styleId="WW8Num3z4">
    <w:name w:val="WW8Num3z4"/>
    <w:rsid w:val="00A87D6E"/>
  </w:style>
  <w:style w:type="character" w:customStyle="1" w:styleId="WW8Num3z5">
    <w:name w:val="WW8Num3z5"/>
    <w:rsid w:val="00A87D6E"/>
  </w:style>
  <w:style w:type="character" w:customStyle="1" w:styleId="WW8Num3z6">
    <w:name w:val="WW8Num3z6"/>
    <w:rsid w:val="00A87D6E"/>
  </w:style>
  <w:style w:type="character" w:customStyle="1" w:styleId="WW8Num3z7">
    <w:name w:val="WW8Num3z7"/>
    <w:rsid w:val="00A87D6E"/>
  </w:style>
  <w:style w:type="character" w:customStyle="1" w:styleId="WW8Num3z8">
    <w:name w:val="WW8Num3z8"/>
    <w:rsid w:val="00A87D6E"/>
  </w:style>
  <w:style w:type="character" w:customStyle="1" w:styleId="Fuentedeprrafopredeter2">
    <w:name w:val="Fuente de párrafo predeter.2"/>
    <w:rsid w:val="00A87D6E"/>
  </w:style>
  <w:style w:type="character" w:customStyle="1" w:styleId="Fuentedeprrafopredeter1">
    <w:name w:val="Fuente de párrafo predeter.1"/>
    <w:rsid w:val="00A87D6E"/>
  </w:style>
  <w:style w:type="character" w:customStyle="1" w:styleId="Fuentedeprrafopredeter3">
    <w:name w:val="Fuente de párrafo predeter.3"/>
    <w:rsid w:val="00A87D6E"/>
  </w:style>
  <w:style w:type="character" w:customStyle="1" w:styleId="Hipervnculovisitado1">
    <w:name w:val="Hipervínculo visitado1"/>
    <w:rsid w:val="00A87D6E"/>
    <w:rPr>
      <w:color w:val="800080"/>
      <w:u w:val="single"/>
    </w:rPr>
  </w:style>
  <w:style w:type="character" w:styleId="Collegamentoipertestuale">
    <w:name w:val="Hyperlink"/>
    <w:rsid w:val="00A87D6E"/>
    <w:rPr>
      <w:color w:val="0000FF"/>
      <w:u w:val="single"/>
    </w:rPr>
  </w:style>
  <w:style w:type="character" w:customStyle="1" w:styleId="Nmerodepgina1">
    <w:name w:val="Número de página1"/>
    <w:basedOn w:val="Fuentedeprrafopredeter3"/>
    <w:rsid w:val="00A87D6E"/>
  </w:style>
  <w:style w:type="character" w:customStyle="1" w:styleId="StyleFACorrespondingAuthorFootnote7ptChar">
    <w:name w:val="Style FA_Corresponding_Author_Footnote + 7 pt Char"/>
    <w:rsid w:val="00A87D6E"/>
    <w:rPr>
      <w:rFonts w:ascii="Arno Pro" w:hAnsi="Arno Pro" w:cs="Arno Pro"/>
      <w:sz w:val="18"/>
    </w:rPr>
  </w:style>
  <w:style w:type="character" w:customStyle="1" w:styleId="FAAuthorInfoSubtitleChar">
    <w:name w:val="FA_Author_Info_Subtitle Char"/>
    <w:rsid w:val="00A87D6E"/>
    <w:rPr>
      <w:rFonts w:ascii="Times" w:hAnsi="Times" w:cs="Times"/>
      <w:b/>
      <w:sz w:val="24"/>
    </w:rPr>
  </w:style>
  <w:style w:type="character" w:customStyle="1" w:styleId="Textodelmarcadordeposicin1">
    <w:name w:val="Texto del marcador de posición1"/>
    <w:rsid w:val="00A87D6E"/>
    <w:rPr>
      <w:color w:val="808080"/>
    </w:rPr>
  </w:style>
  <w:style w:type="character" w:customStyle="1" w:styleId="Refdecomentario1">
    <w:name w:val="Ref. de comentario1"/>
    <w:rsid w:val="00A87D6E"/>
    <w:rPr>
      <w:sz w:val="16"/>
      <w:szCs w:val="16"/>
    </w:rPr>
  </w:style>
  <w:style w:type="character" w:customStyle="1" w:styleId="TextocomentarioCar">
    <w:name w:val="Texto comentario Car"/>
    <w:rsid w:val="00A87D6E"/>
    <w:rPr>
      <w:rFonts w:ascii="Times" w:hAnsi="Times" w:cs="Times"/>
      <w:color w:val="00000A"/>
      <w:kern w:val="1"/>
      <w:lang w:val="en-US"/>
    </w:rPr>
  </w:style>
  <w:style w:type="character" w:customStyle="1" w:styleId="AsuntodelcomentarioCar">
    <w:name w:val="Asunto del comentario Car"/>
    <w:rsid w:val="00A87D6E"/>
    <w:rPr>
      <w:rFonts w:ascii="Times" w:hAnsi="Times" w:cs="Times"/>
      <w:b/>
      <w:bCs/>
      <w:color w:val="00000A"/>
      <w:kern w:val="1"/>
      <w:lang w:val="en-US"/>
    </w:rPr>
  </w:style>
  <w:style w:type="character" w:customStyle="1" w:styleId="TextodegloboCar">
    <w:name w:val="Texto de globo Car"/>
    <w:rsid w:val="00A87D6E"/>
    <w:rPr>
      <w:rFonts w:ascii="Tahoma" w:hAnsi="Tahoma" w:cs="Tahoma"/>
      <w:color w:val="00000A"/>
      <w:kern w:val="1"/>
      <w:sz w:val="16"/>
      <w:szCs w:val="16"/>
      <w:lang w:val="en-US"/>
    </w:rPr>
  </w:style>
  <w:style w:type="character" w:customStyle="1" w:styleId="LO-normal">
    <w:name w:val="LO-normal"/>
    <w:basedOn w:val="Fuentedeprrafopredeter1"/>
    <w:rsid w:val="00A87D6E"/>
  </w:style>
  <w:style w:type="paragraph" w:customStyle="1" w:styleId="Heading">
    <w:name w:val="Heading"/>
    <w:basedOn w:val="Normale"/>
    <w:next w:val="Corpodeltesto"/>
    <w:rsid w:val="00A87D6E"/>
    <w:pPr>
      <w:keepNext/>
      <w:spacing w:before="240" w:after="120"/>
    </w:pPr>
    <w:rPr>
      <w:rFonts w:ascii="Arial" w:eastAsia="DejaVu Sans" w:hAnsi="Arial" w:cs="Lohit Hindi"/>
      <w:sz w:val="28"/>
      <w:szCs w:val="28"/>
    </w:rPr>
  </w:style>
  <w:style w:type="paragraph" w:styleId="Corpodeltesto">
    <w:name w:val="Body Text"/>
    <w:basedOn w:val="Normale"/>
    <w:rsid w:val="00A87D6E"/>
    <w:pPr>
      <w:spacing w:after="120"/>
      <w:jc w:val="center"/>
    </w:pPr>
    <w:rPr>
      <w:b/>
      <w:sz w:val="40"/>
    </w:rPr>
  </w:style>
  <w:style w:type="paragraph" w:styleId="Elenco">
    <w:name w:val="List"/>
    <w:basedOn w:val="Corpodeltesto"/>
    <w:rsid w:val="00A87D6E"/>
    <w:rPr>
      <w:rFonts w:cs="Lohit Hindi"/>
    </w:rPr>
  </w:style>
  <w:style w:type="paragraph" w:styleId="Didascalia">
    <w:name w:val="caption"/>
    <w:basedOn w:val="Normale"/>
    <w:qFormat/>
    <w:rsid w:val="00A87D6E"/>
    <w:pPr>
      <w:suppressLineNumbers/>
      <w:spacing w:before="120" w:after="120"/>
    </w:pPr>
    <w:rPr>
      <w:rFonts w:cs="Lohit Hindi"/>
      <w:i/>
      <w:iCs/>
    </w:rPr>
  </w:style>
  <w:style w:type="paragraph" w:customStyle="1" w:styleId="Index">
    <w:name w:val="Index"/>
    <w:basedOn w:val="Normale"/>
    <w:rsid w:val="00A87D6E"/>
    <w:pPr>
      <w:suppressLineNumbers/>
    </w:pPr>
    <w:rPr>
      <w:rFonts w:cs="Lohit Hindi"/>
    </w:rPr>
  </w:style>
  <w:style w:type="paragraph" w:customStyle="1" w:styleId="Epgrafe2">
    <w:name w:val="Epígrafe2"/>
    <w:basedOn w:val="Normale"/>
    <w:rsid w:val="00A87D6E"/>
    <w:pPr>
      <w:suppressLineNumbers/>
      <w:spacing w:before="120" w:after="120"/>
    </w:pPr>
    <w:rPr>
      <w:rFonts w:cs="Lohit Hindi"/>
      <w:i/>
      <w:iCs/>
    </w:rPr>
  </w:style>
  <w:style w:type="paragraph" w:customStyle="1" w:styleId="Epgrafe1">
    <w:name w:val="Epígrafe1"/>
    <w:basedOn w:val="Normale"/>
    <w:rsid w:val="00A87D6E"/>
    <w:pPr>
      <w:suppressLineNumbers/>
      <w:spacing w:before="120" w:after="120"/>
    </w:pPr>
    <w:rPr>
      <w:rFonts w:cs="Lohit Hindi"/>
      <w:i/>
      <w:iCs/>
    </w:rPr>
  </w:style>
  <w:style w:type="paragraph" w:customStyle="1" w:styleId="Textonotapie1">
    <w:name w:val="Texto nota pie1"/>
    <w:basedOn w:val="Normale"/>
    <w:rsid w:val="00A87D6E"/>
  </w:style>
  <w:style w:type="paragraph" w:customStyle="1" w:styleId="TFReferencesSection">
    <w:name w:val="TF_References_Section"/>
    <w:basedOn w:val="Normale"/>
    <w:rsid w:val="00A87D6E"/>
    <w:pPr>
      <w:spacing w:line="480" w:lineRule="auto"/>
      <w:ind w:firstLine="187"/>
    </w:pPr>
  </w:style>
  <w:style w:type="paragraph" w:customStyle="1" w:styleId="TAMainText">
    <w:name w:val="TA_Main_Text"/>
    <w:basedOn w:val="Normale"/>
    <w:link w:val="TAMainTextCar"/>
    <w:rsid w:val="00A87D6E"/>
    <w:pPr>
      <w:spacing w:after="0" w:line="480" w:lineRule="auto"/>
      <w:ind w:firstLine="202"/>
    </w:pPr>
  </w:style>
  <w:style w:type="paragraph" w:customStyle="1" w:styleId="BATitle">
    <w:name w:val="BA_Title"/>
    <w:basedOn w:val="Normale"/>
    <w:rsid w:val="00A87D6E"/>
    <w:pPr>
      <w:spacing w:before="720" w:after="360" w:line="480" w:lineRule="auto"/>
      <w:jc w:val="center"/>
    </w:pPr>
    <w:rPr>
      <w:rFonts w:ascii="Times New Roman" w:hAnsi="Times New Roman" w:cs="Times New Roman"/>
      <w:sz w:val="44"/>
    </w:rPr>
  </w:style>
  <w:style w:type="paragraph" w:customStyle="1" w:styleId="BBAuthorName">
    <w:name w:val="BB_Author_Name"/>
    <w:basedOn w:val="Normale"/>
    <w:rsid w:val="00A87D6E"/>
    <w:pPr>
      <w:spacing w:after="240" w:line="480" w:lineRule="auto"/>
      <w:jc w:val="center"/>
    </w:pPr>
    <w:rPr>
      <w:i/>
    </w:rPr>
  </w:style>
  <w:style w:type="paragraph" w:customStyle="1" w:styleId="BCAuthorAddress">
    <w:name w:val="BC_Author_Address"/>
    <w:basedOn w:val="Normale"/>
    <w:rsid w:val="00A87D6E"/>
    <w:pPr>
      <w:spacing w:after="240" w:line="480" w:lineRule="auto"/>
      <w:jc w:val="center"/>
    </w:pPr>
  </w:style>
  <w:style w:type="paragraph" w:customStyle="1" w:styleId="BIEmailAddress">
    <w:name w:val="BI_Email_Address"/>
    <w:basedOn w:val="Normale"/>
    <w:rsid w:val="00A87D6E"/>
    <w:pPr>
      <w:spacing w:line="480" w:lineRule="auto"/>
    </w:pPr>
  </w:style>
  <w:style w:type="paragraph" w:customStyle="1" w:styleId="AIReceivedDate">
    <w:name w:val="AI_Received_Date"/>
    <w:basedOn w:val="Normale"/>
    <w:rsid w:val="00A87D6E"/>
    <w:pPr>
      <w:spacing w:after="240" w:line="480" w:lineRule="auto"/>
    </w:pPr>
    <w:rPr>
      <w:b/>
    </w:rPr>
  </w:style>
  <w:style w:type="paragraph" w:customStyle="1" w:styleId="BDAbstract">
    <w:name w:val="BD_Abstract"/>
    <w:basedOn w:val="Normale"/>
    <w:rsid w:val="00A87D6E"/>
    <w:pPr>
      <w:spacing w:before="360" w:after="360" w:line="480" w:lineRule="auto"/>
    </w:pPr>
  </w:style>
  <w:style w:type="paragraph" w:customStyle="1" w:styleId="TDAcknowledgments">
    <w:name w:val="TD_Acknowledgments"/>
    <w:basedOn w:val="Normale"/>
    <w:rsid w:val="00A87D6E"/>
    <w:pPr>
      <w:spacing w:before="200" w:line="480" w:lineRule="auto"/>
      <w:ind w:firstLine="202"/>
    </w:pPr>
  </w:style>
  <w:style w:type="paragraph" w:customStyle="1" w:styleId="TESupportingInformation">
    <w:name w:val="TE_Supporting_Information"/>
    <w:basedOn w:val="Normale"/>
    <w:rsid w:val="00A87D6E"/>
    <w:pPr>
      <w:spacing w:line="480" w:lineRule="auto"/>
      <w:ind w:firstLine="187"/>
    </w:pPr>
  </w:style>
  <w:style w:type="paragraph" w:customStyle="1" w:styleId="VCSchemeTitle">
    <w:name w:val="VC_Scheme_Title"/>
    <w:basedOn w:val="Normale"/>
    <w:rsid w:val="00A87D6E"/>
    <w:pPr>
      <w:spacing w:line="480" w:lineRule="auto"/>
    </w:pPr>
  </w:style>
  <w:style w:type="paragraph" w:customStyle="1" w:styleId="VDTableTitle">
    <w:name w:val="VD_Table_Title"/>
    <w:basedOn w:val="Normale"/>
    <w:rsid w:val="00A87D6E"/>
    <w:pPr>
      <w:spacing w:line="480" w:lineRule="auto"/>
    </w:pPr>
  </w:style>
  <w:style w:type="paragraph" w:customStyle="1" w:styleId="VAFigureCaption">
    <w:name w:val="VA_Figure_Caption"/>
    <w:basedOn w:val="Normale"/>
    <w:rsid w:val="00A87D6E"/>
    <w:pPr>
      <w:spacing w:line="480" w:lineRule="auto"/>
    </w:pPr>
  </w:style>
  <w:style w:type="paragraph" w:customStyle="1" w:styleId="VBChartTitle">
    <w:name w:val="VB_Chart_Title"/>
    <w:basedOn w:val="Normale"/>
    <w:rsid w:val="00A87D6E"/>
    <w:pPr>
      <w:spacing w:line="480" w:lineRule="auto"/>
    </w:pPr>
  </w:style>
  <w:style w:type="paragraph" w:customStyle="1" w:styleId="FETableFootnote">
    <w:name w:val="FE_Table_Footnote"/>
    <w:basedOn w:val="Normale"/>
    <w:rsid w:val="00A87D6E"/>
    <w:pPr>
      <w:ind w:firstLine="187"/>
    </w:pPr>
  </w:style>
  <w:style w:type="paragraph" w:customStyle="1" w:styleId="FCChartFootnote">
    <w:name w:val="FC_Chart_Footnote"/>
    <w:basedOn w:val="Normale"/>
    <w:rsid w:val="00A87D6E"/>
    <w:pPr>
      <w:ind w:firstLine="187"/>
    </w:pPr>
  </w:style>
  <w:style w:type="paragraph" w:customStyle="1" w:styleId="FDSchemeFootnote">
    <w:name w:val="FD_Scheme_Footnote"/>
    <w:basedOn w:val="Normale"/>
    <w:rsid w:val="00A87D6E"/>
    <w:pPr>
      <w:ind w:firstLine="187"/>
    </w:pPr>
  </w:style>
  <w:style w:type="paragraph" w:customStyle="1" w:styleId="TCTableBody">
    <w:name w:val="TC_Table_Body"/>
    <w:basedOn w:val="Normale"/>
    <w:rsid w:val="00A87D6E"/>
  </w:style>
  <w:style w:type="paragraph" w:customStyle="1" w:styleId="AFTitleRunningHead">
    <w:name w:val="AF_Title_Running_Head"/>
    <w:basedOn w:val="Normale"/>
    <w:rsid w:val="00A87D6E"/>
    <w:pPr>
      <w:spacing w:line="480" w:lineRule="auto"/>
    </w:pPr>
  </w:style>
  <w:style w:type="paragraph" w:customStyle="1" w:styleId="BEAuthorBiography">
    <w:name w:val="BE_Author_Biography"/>
    <w:basedOn w:val="Normale"/>
    <w:rsid w:val="00A87D6E"/>
    <w:pPr>
      <w:spacing w:line="480" w:lineRule="auto"/>
    </w:pPr>
  </w:style>
  <w:style w:type="paragraph" w:customStyle="1" w:styleId="FACorrespondingAuthorFootnote">
    <w:name w:val="FA_Corresponding_Author_Footnote"/>
    <w:basedOn w:val="Normale"/>
    <w:rsid w:val="00A87D6E"/>
    <w:pPr>
      <w:spacing w:line="480" w:lineRule="auto"/>
    </w:pPr>
  </w:style>
  <w:style w:type="paragraph" w:customStyle="1" w:styleId="SNSynopsisTOC">
    <w:name w:val="SN_Synopsis_TOC"/>
    <w:basedOn w:val="Normale"/>
    <w:rsid w:val="00A87D6E"/>
    <w:pPr>
      <w:spacing w:line="480" w:lineRule="auto"/>
    </w:pPr>
  </w:style>
  <w:style w:type="paragraph" w:styleId="Pidipagina">
    <w:name w:val="footer"/>
    <w:basedOn w:val="Normale"/>
    <w:rsid w:val="00A87D6E"/>
    <w:pPr>
      <w:tabs>
        <w:tab w:val="center" w:pos="4320"/>
        <w:tab w:val="right" w:pos="8640"/>
      </w:tabs>
    </w:pPr>
  </w:style>
  <w:style w:type="paragraph" w:customStyle="1" w:styleId="BGKeywords">
    <w:name w:val="BG_Keywords"/>
    <w:basedOn w:val="Normale"/>
    <w:rsid w:val="00A87D6E"/>
    <w:pPr>
      <w:spacing w:line="480" w:lineRule="auto"/>
    </w:pPr>
  </w:style>
  <w:style w:type="paragraph" w:customStyle="1" w:styleId="BHBriefs">
    <w:name w:val="BH_Briefs"/>
    <w:basedOn w:val="Normale"/>
    <w:rsid w:val="00A87D6E"/>
    <w:pPr>
      <w:spacing w:line="480" w:lineRule="auto"/>
    </w:pPr>
  </w:style>
  <w:style w:type="paragraph" w:customStyle="1" w:styleId="Textodeglobo1">
    <w:name w:val="Texto de globo1"/>
    <w:basedOn w:val="Normale"/>
    <w:rsid w:val="00A87D6E"/>
    <w:rPr>
      <w:rFonts w:ascii="Tahoma" w:hAnsi="Tahoma" w:cs="Tahoma"/>
      <w:sz w:val="16"/>
      <w:szCs w:val="16"/>
    </w:rPr>
  </w:style>
  <w:style w:type="paragraph" w:customStyle="1" w:styleId="StyleFACorrespondingAuthorFootnote7pt">
    <w:name w:val="Style FA_Corresponding_Author_Footnote + 7 pt"/>
    <w:basedOn w:val="Normale"/>
    <w:rsid w:val="00A87D6E"/>
    <w:pPr>
      <w:spacing w:after="0"/>
      <w:jc w:val="left"/>
    </w:pPr>
    <w:rPr>
      <w:rFonts w:ascii="Arno Pro" w:hAnsi="Arno Pro" w:cs="Arno Pro"/>
      <w:sz w:val="18"/>
    </w:rPr>
  </w:style>
  <w:style w:type="paragraph" w:customStyle="1" w:styleId="FAAuthorInfoSubtitle">
    <w:name w:val="FA_Author_Info_Subtitle"/>
    <w:basedOn w:val="Normale"/>
    <w:rsid w:val="00A87D6E"/>
    <w:pPr>
      <w:spacing w:before="120" w:after="60" w:line="480" w:lineRule="auto"/>
      <w:jc w:val="left"/>
    </w:pPr>
    <w:rPr>
      <w:b/>
    </w:rPr>
  </w:style>
  <w:style w:type="paragraph" w:customStyle="1" w:styleId="Epgrafe3">
    <w:name w:val="Epígrafe3"/>
    <w:basedOn w:val="Normale"/>
    <w:rsid w:val="00A87D6E"/>
    <w:rPr>
      <w:b/>
      <w:bCs/>
      <w:color w:val="4F81BD"/>
      <w:sz w:val="18"/>
      <w:szCs w:val="18"/>
    </w:rPr>
  </w:style>
  <w:style w:type="paragraph" w:customStyle="1" w:styleId="FrameContents">
    <w:name w:val="Frame Contents"/>
    <w:basedOn w:val="Normale"/>
    <w:rsid w:val="00A87D6E"/>
  </w:style>
  <w:style w:type="paragraph" w:customStyle="1" w:styleId="Tableofcontents">
    <w:name w:val="Table of contents"/>
    <w:basedOn w:val="Normale"/>
    <w:rsid w:val="00A87D6E"/>
  </w:style>
  <w:style w:type="paragraph" w:customStyle="1" w:styleId="Default">
    <w:name w:val="Default"/>
    <w:rsid w:val="00A87D6E"/>
    <w:pPr>
      <w:suppressAutoHyphens/>
    </w:pPr>
    <w:rPr>
      <w:rFonts w:ascii="Lohit Hindi" w:eastAsia="DejaVu Sans" w:hAnsi="Lohit Hindi" w:cs="Arial"/>
      <w:color w:val="00000A"/>
      <w:kern w:val="1"/>
      <w:sz w:val="36"/>
      <w:szCs w:val="24"/>
      <w:lang w:val="en-US" w:eastAsia="zh-CN" w:bidi="hi-IN"/>
    </w:rPr>
  </w:style>
  <w:style w:type="paragraph" w:customStyle="1" w:styleId="Objectwitharrow">
    <w:name w:val="Object with arrow"/>
    <w:basedOn w:val="Default"/>
    <w:rsid w:val="00A87D6E"/>
    <w:rPr>
      <w:rFonts w:cs="Lohit Hindi"/>
    </w:rPr>
  </w:style>
  <w:style w:type="paragraph" w:customStyle="1" w:styleId="Objectwithshadow">
    <w:name w:val="Object with shadow"/>
    <w:basedOn w:val="Default"/>
    <w:rsid w:val="00A87D6E"/>
    <w:rPr>
      <w:rFonts w:cs="Lohit Hindi"/>
    </w:rPr>
  </w:style>
  <w:style w:type="paragraph" w:customStyle="1" w:styleId="Objectwithoutfill">
    <w:name w:val="Object without fill"/>
    <w:basedOn w:val="Default"/>
    <w:rsid w:val="00A87D6E"/>
    <w:rPr>
      <w:rFonts w:cs="Lohit Hindi"/>
    </w:rPr>
  </w:style>
  <w:style w:type="paragraph" w:customStyle="1" w:styleId="Objectwithnofillandnoline">
    <w:name w:val="Object with no fill and no line"/>
    <w:basedOn w:val="Default"/>
    <w:rsid w:val="00A87D6E"/>
    <w:rPr>
      <w:rFonts w:cs="Lohit Hindi"/>
    </w:rPr>
  </w:style>
  <w:style w:type="paragraph" w:customStyle="1" w:styleId="Textbodyjustified">
    <w:name w:val="Text body justified"/>
    <w:basedOn w:val="Default"/>
    <w:rsid w:val="00A87D6E"/>
    <w:rPr>
      <w:rFonts w:cs="Lohit Hindi"/>
    </w:rPr>
  </w:style>
  <w:style w:type="paragraph" w:customStyle="1" w:styleId="Title1">
    <w:name w:val="Title1"/>
    <w:basedOn w:val="Default"/>
    <w:rsid w:val="00A87D6E"/>
    <w:pPr>
      <w:jc w:val="center"/>
    </w:pPr>
    <w:rPr>
      <w:rFonts w:cs="Lohit Hindi"/>
    </w:rPr>
  </w:style>
  <w:style w:type="paragraph" w:customStyle="1" w:styleId="Title2">
    <w:name w:val="Title2"/>
    <w:basedOn w:val="Default"/>
    <w:rsid w:val="00A87D6E"/>
    <w:pPr>
      <w:spacing w:before="57" w:after="57"/>
      <w:ind w:right="113"/>
      <w:jc w:val="center"/>
    </w:pPr>
    <w:rPr>
      <w:rFonts w:cs="Lohit Hindi"/>
    </w:rPr>
  </w:style>
  <w:style w:type="paragraph" w:customStyle="1" w:styleId="DimensionLine">
    <w:name w:val="Dimension Line"/>
    <w:basedOn w:val="Default"/>
    <w:rsid w:val="00A87D6E"/>
    <w:rPr>
      <w:rFonts w:cs="Lohit Hindi"/>
    </w:rPr>
  </w:style>
  <w:style w:type="paragraph" w:customStyle="1" w:styleId="DiapositivadettuloLTGliederung1">
    <w:name w:val="Diapositiva de título~LT~Gliederung 1"/>
    <w:rsid w:val="00A87D6E"/>
    <w:pPr>
      <w:suppressAutoHyphens/>
      <w:spacing w:after="283"/>
    </w:pPr>
    <w:rPr>
      <w:rFonts w:ascii="Lohit Hindi" w:eastAsia="DejaVu Sans" w:hAnsi="Lohit Hindi" w:cs="Arial"/>
      <w:color w:val="00000A"/>
      <w:kern w:val="1"/>
      <w:sz w:val="64"/>
      <w:szCs w:val="24"/>
      <w:lang w:val="en-US" w:eastAsia="zh-CN" w:bidi="hi-IN"/>
    </w:rPr>
  </w:style>
  <w:style w:type="paragraph" w:customStyle="1" w:styleId="DiapositivadettuloLTGliederung2">
    <w:name w:val="Diapositiva de título~LT~Gliederung 2"/>
    <w:basedOn w:val="DiapositivadettuloLTGliederung1"/>
    <w:rsid w:val="00A87D6E"/>
    <w:pPr>
      <w:spacing w:after="227"/>
    </w:pPr>
    <w:rPr>
      <w:rFonts w:cs="Lohit Hindi"/>
      <w:sz w:val="48"/>
    </w:rPr>
  </w:style>
  <w:style w:type="paragraph" w:customStyle="1" w:styleId="DiapositivadettuloLTGliederung3">
    <w:name w:val="Diapositiva de título~LT~Gliederung 3"/>
    <w:basedOn w:val="DiapositivadettuloLTGliederung2"/>
    <w:rsid w:val="00A87D6E"/>
    <w:pPr>
      <w:spacing w:after="170"/>
    </w:pPr>
    <w:rPr>
      <w:sz w:val="40"/>
    </w:rPr>
  </w:style>
  <w:style w:type="paragraph" w:customStyle="1" w:styleId="DiapositivadettuloLTGliederung4">
    <w:name w:val="Diapositiva de título~LT~Gliederung 4"/>
    <w:basedOn w:val="DiapositivadettuloLTGliederung3"/>
    <w:rsid w:val="00A87D6E"/>
    <w:pPr>
      <w:spacing w:after="113"/>
    </w:pPr>
  </w:style>
  <w:style w:type="paragraph" w:customStyle="1" w:styleId="DiapositivadettuloLTGliederung5">
    <w:name w:val="Diapositiva de título~LT~Gliederung 5"/>
    <w:basedOn w:val="DiapositivadettuloLTGliederung4"/>
    <w:rsid w:val="00A87D6E"/>
    <w:pPr>
      <w:spacing w:after="57"/>
    </w:pPr>
  </w:style>
  <w:style w:type="paragraph" w:customStyle="1" w:styleId="DiapositivadettuloLTGliederung6">
    <w:name w:val="Diapositiva de título~LT~Gliederung 6"/>
    <w:basedOn w:val="DiapositivadettuloLTGliederung5"/>
    <w:rsid w:val="00A87D6E"/>
  </w:style>
  <w:style w:type="paragraph" w:customStyle="1" w:styleId="DiapositivadettuloLTGliederung7">
    <w:name w:val="Diapositiva de título~LT~Gliederung 7"/>
    <w:basedOn w:val="DiapositivadettuloLTGliederung6"/>
    <w:rsid w:val="00A87D6E"/>
  </w:style>
  <w:style w:type="paragraph" w:customStyle="1" w:styleId="DiapositivadettuloLTGliederung8">
    <w:name w:val="Diapositiva de título~LT~Gliederung 8"/>
    <w:basedOn w:val="DiapositivadettuloLTGliederung7"/>
    <w:rsid w:val="00A87D6E"/>
  </w:style>
  <w:style w:type="paragraph" w:customStyle="1" w:styleId="DiapositivadettuloLTGliederung9">
    <w:name w:val="Diapositiva de título~LT~Gliederung 9"/>
    <w:basedOn w:val="DiapositivadettuloLTGliederung8"/>
    <w:rsid w:val="00A87D6E"/>
  </w:style>
  <w:style w:type="paragraph" w:customStyle="1" w:styleId="DiapositivadettuloLTTitel">
    <w:name w:val="Diapositiva de título~LT~Titel"/>
    <w:rsid w:val="00A87D6E"/>
    <w:pPr>
      <w:suppressAutoHyphens/>
    </w:pPr>
    <w:rPr>
      <w:rFonts w:ascii="Lohit Hindi" w:eastAsia="DejaVu Sans" w:hAnsi="Lohit Hindi" w:cs="Arial"/>
      <w:color w:val="00000A"/>
      <w:kern w:val="1"/>
      <w:sz w:val="36"/>
      <w:szCs w:val="24"/>
      <w:lang w:val="en-US" w:eastAsia="zh-CN" w:bidi="hi-IN"/>
    </w:rPr>
  </w:style>
  <w:style w:type="paragraph" w:customStyle="1" w:styleId="DiapositivadettuloLTUntertitel">
    <w:name w:val="Diapositiva de título~LT~Untertitel"/>
    <w:rsid w:val="00A87D6E"/>
    <w:pPr>
      <w:suppressAutoHyphens/>
      <w:jc w:val="center"/>
    </w:pPr>
    <w:rPr>
      <w:rFonts w:ascii="Lohit Hindi" w:eastAsia="DejaVu Sans" w:hAnsi="Lohit Hindi" w:cs="Arial"/>
      <w:color w:val="00000A"/>
      <w:kern w:val="1"/>
      <w:sz w:val="64"/>
      <w:szCs w:val="24"/>
      <w:lang w:val="en-US" w:eastAsia="zh-CN" w:bidi="hi-IN"/>
    </w:rPr>
  </w:style>
  <w:style w:type="paragraph" w:customStyle="1" w:styleId="DiapositivadettuloLTNotizen">
    <w:name w:val="Diapositiva de título~LT~Notizen"/>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DiapositivadettuloLTHintergrundobjekte">
    <w:name w:val="Diapositiva de título~LT~Hintergrundobjekte"/>
    <w:rsid w:val="00A87D6E"/>
    <w:pPr>
      <w:suppressAutoHyphens/>
    </w:pPr>
    <w:rPr>
      <w:rFonts w:eastAsia="DejaVu Sans" w:cs="Arial"/>
      <w:color w:val="00000A"/>
      <w:kern w:val="1"/>
      <w:sz w:val="24"/>
      <w:szCs w:val="24"/>
      <w:lang w:val="en-US" w:eastAsia="zh-CN" w:bidi="hi-IN"/>
    </w:rPr>
  </w:style>
  <w:style w:type="paragraph" w:customStyle="1" w:styleId="DiapositivadettuloLTHintergrund">
    <w:name w:val="Diapositiva de título~LT~Hintergrund"/>
    <w:rsid w:val="00A87D6E"/>
    <w:pPr>
      <w:suppressAutoHyphens/>
    </w:pPr>
    <w:rPr>
      <w:rFonts w:eastAsia="DejaVu Sans" w:cs="Arial"/>
      <w:color w:val="00000A"/>
      <w:kern w:val="1"/>
      <w:sz w:val="24"/>
      <w:szCs w:val="24"/>
      <w:lang w:val="en-US" w:eastAsia="zh-CN" w:bidi="hi-IN"/>
    </w:rPr>
  </w:style>
  <w:style w:type="paragraph" w:customStyle="1" w:styleId="default0">
    <w:name w:val="default"/>
    <w:rsid w:val="00A87D6E"/>
    <w:pPr>
      <w:suppressAutoHyphens/>
    </w:pPr>
    <w:rPr>
      <w:rFonts w:ascii="Lohit Hindi" w:eastAsia="DejaVu Sans" w:hAnsi="Lohit Hindi" w:cs="Arial"/>
      <w:color w:val="00000A"/>
      <w:kern w:val="1"/>
      <w:sz w:val="36"/>
      <w:szCs w:val="24"/>
      <w:lang w:val="en-US" w:eastAsia="zh-CN" w:bidi="hi-IN"/>
    </w:rPr>
  </w:style>
  <w:style w:type="paragraph" w:customStyle="1" w:styleId="gray1">
    <w:name w:val="gray1"/>
    <w:basedOn w:val="default0"/>
    <w:rsid w:val="00A87D6E"/>
    <w:rPr>
      <w:rFonts w:cs="Lohit Hindi"/>
    </w:rPr>
  </w:style>
  <w:style w:type="paragraph" w:customStyle="1" w:styleId="gray2">
    <w:name w:val="gray2"/>
    <w:basedOn w:val="default0"/>
    <w:rsid w:val="00A87D6E"/>
    <w:rPr>
      <w:rFonts w:cs="Lohit Hindi"/>
    </w:rPr>
  </w:style>
  <w:style w:type="paragraph" w:customStyle="1" w:styleId="gray3">
    <w:name w:val="gray3"/>
    <w:basedOn w:val="default0"/>
    <w:rsid w:val="00A87D6E"/>
    <w:rPr>
      <w:rFonts w:cs="Lohit Hindi"/>
    </w:rPr>
  </w:style>
  <w:style w:type="paragraph" w:customStyle="1" w:styleId="bw1">
    <w:name w:val="bw1"/>
    <w:basedOn w:val="default0"/>
    <w:rsid w:val="00A87D6E"/>
    <w:rPr>
      <w:rFonts w:cs="Lohit Hindi"/>
    </w:rPr>
  </w:style>
  <w:style w:type="paragraph" w:customStyle="1" w:styleId="bw2">
    <w:name w:val="bw2"/>
    <w:basedOn w:val="default0"/>
    <w:rsid w:val="00A87D6E"/>
    <w:rPr>
      <w:rFonts w:cs="Lohit Hindi"/>
    </w:rPr>
  </w:style>
  <w:style w:type="paragraph" w:customStyle="1" w:styleId="bw3">
    <w:name w:val="bw3"/>
    <w:basedOn w:val="default0"/>
    <w:rsid w:val="00A87D6E"/>
    <w:rPr>
      <w:rFonts w:cs="Lohit Hindi"/>
    </w:rPr>
  </w:style>
  <w:style w:type="paragraph" w:customStyle="1" w:styleId="orange1">
    <w:name w:val="orange1"/>
    <w:basedOn w:val="default0"/>
    <w:rsid w:val="00A87D6E"/>
    <w:rPr>
      <w:rFonts w:cs="Lohit Hindi"/>
    </w:rPr>
  </w:style>
  <w:style w:type="paragraph" w:customStyle="1" w:styleId="orange2">
    <w:name w:val="orange2"/>
    <w:basedOn w:val="default0"/>
    <w:rsid w:val="00A87D6E"/>
    <w:rPr>
      <w:rFonts w:cs="Lohit Hindi"/>
    </w:rPr>
  </w:style>
  <w:style w:type="paragraph" w:customStyle="1" w:styleId="orange3">
    <w:name w:val="orange3"/>
    <w:basedOn w:val="default0"/>
    <w:rsid w:val="00A87D6E"/>
    <w:rPr>
      <w:rFonts w:cs="Lohit Hindi"/>
    </w:rPr>
  </w:style>
  <w:style w:type="paragraph" w:customStyle="1" w:styleId="turquise1">
    <w:name w:val="turquise1"/>
    <w:basedOn w:val="default0"/>
    <w:rsid w:val="00A87D6E"/>
    <w:rPr>
      <w:rFonts w:cs="Lohit Hindi"/>
    </w:rPr>
  </w:style>
  <w:style w:type="paragraph" w:customStyle="1" w:styleId="turquise2">
    <w:name w:val="turquise2"/>
    <w:basedOn w:val="default0"/>
    <w:rsid w:val="00A87D6E"/>
    <w:rPr>
      <w:rFonts w:cs="Lohit Hindi"/>
    </w:rPr>
  </w:style>
  <w:style w:type="paragraph" w:customStyle="1" w:styleId="turquise3">
    <w:name w:val="turquise3"/>
    <w:basedOn w:val="default0"/>
    <w:rsid w:val="00A87D6E"/>
    <w:rPr>
      <w:rFonts w:cs="Lohit Hindi"/>
    </w:rPr>
  </w:style>
  <w:style w:type="paragraph" w:customStyle="1" w:styleId="blue1">
    <w:name w:val="blue1"/>
    <w:basedOn w:val="default0"/>
    <w:rsid w:val="00A87D6E"/>
    <w:rPr>
      <w:rFonts w:cs="Lohit Hindi"/>
    </w:rPr>
  </w:style>
  <w:style w:type="paragraph" w:customStyle="1" w:styleId="blue2">
    <w:name w:val="blue2"/>
    <w:basedOn w:val="default0"/>
    <w:rsid w:val="00A87D6E"/>
    <w:rPr>
      <w:rFonts w:cs="Lohit Hindi"/>
    </w:rPr>
  </w:style>
  <w:style w:type="paragraph" w:customStyle="1" w:styleId="blue3">
    <w:name w:val="blue3"/>
    <w:basedOn w:val="default0"/>
    <w:rsid w:val="00A87D6E"/>
    <w:rPr>
      <w:rFonts w:cs="Lohit Hindi"/>
    </w:rPr>
  </w:style>
  <w:style w:type="paragraph" w:customStyle="1" w:styleId="sun1">
    <w:name w:val="sun1"/>
    <w:basedOn w:val="default0"/>
    <w:rsid w:val="00A87D6E"/>
    <w:rPr>
      <w:rFonts w:cs="Lohit Hindi"/>
    </w:rPr>
  </w:style>
  <w:style w:type="paragraph" w:customStyle="1" w:styleId="sun2">
    <w:name w:val="sun2"/>
    <w:basedOn w:val="default0"/>
    <w:rsid w:val="00A87D6E"/>
    <w:rPr>
      <w:rFonts w:cs="Lohit Hindi"/>
    </w:rPr>
  </w:style>
  <w:style w:type="paragraph" w:customStyle="1" w:styleId="sun3">
    <w:name w:val="sun3"/>
    <w:basedOn w:val="default0"/>
    <w:rsid w:val="00A87D6E"/>
    <w:rPr>
      <w:rFonts w:cs="Lohit Hindi"/>
    </w:rPr>
  </w:style>
  <w:style w:type="paragraph" w:customStyle="1" w:styleId="earth1">
    <w:name w:val="earth1"/>
    <w:basedOn w:val="default0"/>
    <w:rsid w:val="00A87D6E"/>
    <w:rPr>
      <w:rFonts w:cs="Lohit Hindi"/>
    </w:rPr>
  </w:style>
  <w:style w:type="paragraph" w:customStyle="1" w:styleId="earth2">
    <w:name w:val="earth2"/>
    <w:basedOn w:val="default0"/>
    <w:rsid w:val="00A87D6E"/>
    <w:rPr>
      <w:rFonts w:cs="Lohit Hindi"/>
    </w:rPr>
  </w:style>
  <w:style w:type="paragraph" w:customStyle="1" w:styleId="earth3">
    <w:name w:val="earth3"/>
    <w:basedOn w:val="default0"/>
    <w:rsid w:val="00A87D6E"/>
    <w:rPr>
      <w:rFonts w:cs="Lohit Hindi"/>
    </w:rPr>
  </w:style>
  <w:style w:type="paragraph" w:customStyle="1" w:styleId="green1">
    <w:name w:val="green1"/>
    <w:basedOn w:val="default0"/>
    <w:rsid w:val="00A87D6E"/>
    <w:rPr>
      <w:rFonts w:cs="Lohit Hindi"/>
    </w:rPr>
  </w:style>
  <w:style w:type="paragraph" w:customStyle="1" w:styleId="green2">
    <w:name w:val="green2"/>
    <w:basedOn w:val="default0"/>
    <w:rsid w:val="00A87D6E"/>
    <w:rPr>
      <w:rFonts w:cs="Lohit Hindi"/>
    </w:rPr>
  </w:style>
  <w:style w:type="paragraph" w:customStyle="1" w:styleId="green3">
    <w:name w:val="green3"/>
    <w:basedOn w:val="default0"/>
    <w:rsid w:val="00A87D6E"/>
    <w:rPr>
      <w:rFonts w:cs="Lohit Hindi"/>
    </w:rPr>
  </w:style>
  <w:style w:type="paragraph" w:customStyle="1" w:styleId="seetang1">
    <w:name w:val="seetang1"/>
    <w:basedOn w:val="default0"/>
    <w:rsid w:val="00A87D6E"/>
    <w:rPr>
      <w:rFonts w:cs="Lohit Hindi"/>
    </w:rPr>
  </w:style>
  <w:style w:type="paragraph" w:customStyle="1" w:styleId="seetang2">
    <w:name w:val="seetang2"/>
    <w:basedOn w:val="default0"/>
    <w:rsid w:val="00A87D6E"/>
    <w:rPr>
      <w:rFonts w:cs="Lohit Hindi"/>
    </w:rPr>
  </w:style>
  <w:style w:type="paragraph" w:customStyle="1" w:styleId="seetang3">
    <w:name w:val="seetang3"/>
    <w:basedOn w:val="default0"/>
    <w:rsid w:val="00A87D6E"/>
    <w:rPr>
      <w:rFonts w:cs="Lohit Hindi"/>
    </w:rPr>
  </w:style>
  <w:style w:type="paragraph" w:customStyle="1" w:styleId="lightblue1">
    <w:name w:val="lightblue1"/>
    <w:basedOn w:val="default0"/>
    <w:rsid w:val="00A87D6E"/>
    <w:rPr>
      <w:rFonts w:cs="Lohit Hindi"/>
    </w:rPr>
  </w:style>
  <w:style w:type="paragraph" w:customStyle="1" w:styleId="lightblue2">
    <w:name w:val="lightblue2"/>
    <w:basedOn w:val="default0"/>
    <w:rsid w:val="00A87D6E"/>
    <w:rPr>
      <w:rFonts w:cs="Lohit Hindi"/>
    </w:rPr>
  </w:style>
  <w:style w:type="paragraph" w:customStyle="1" w:styleId="lightblue3">
    <w:name w:val="lightblue3"/>
    <w:basedOn w:val="default0"/>
    <w:rsid w:val="00A87D6E"/>
    <w:rPr>
      <w:rFonts w:cs="Lohit Hindi"/>
    </w:rPr>
  </w:style>
  <w:style w:type="paragraph" w:customStyle="1" w:styleId="yellow1">
    <w:name w:val="yellow1"/>
    <w:basedOn w:val="default0"/>
    <w:rsid w:val="00A87D6E"/>
    <w:rPr>
      <w:rFonts w:cs="Lohit Hindi"/>
    </w:rPr>
  </w:style>
  <w:style w:type="paragraph" w:customStyle="1" w:styleId="yellow2">
    <w:name w:val="yellow2"/>
    <w:basedOn w:val="default0"/>
    <w:rsid w:val="00A87D6E"/>
    <w:rPr>
      <w:rFonts w:cs="Lohit Hindi"/>
    </w:rPr>
  </w:style>
  <w:style w:type="paragraph" w:customStyle="1" w:styleId="yellow3">
    <w:name w:val="yellow3"/>
    <w:basedOn w:val="default0"/>
    <w:rsid w:val="00A87D6E"/>
    <w:rPr>
      <w:rFonts w:cs="Lohit Hindi"/>
    </w:rPr>
  </w:style>
  <w:style w:type="paragraph" w:customStyle="1" w:styleId="Backgroundobjects">
    <w:name w:val="Background objects"/>
    <w:rsid w:val="00A87D6E"/>
    <w:pPr>
      <w:suppressAutoHyphens/>
    </w:pPr>
    <w:rPr>
      <w:rFonts w:eastAsia="DejaVu Sans" w:cs="Arial"/>
      <w:color w:val="00000A"/>
      <w:kern w:val="1"/>
      <w:sz w:val="24"/>
      <w:szCs w:val="24"/>
      <w:lang w:val="en-US" w:eastAsia="zh-CN" w:bidi="hi-IN"/>
    </w:rPr>
  </w:style>
  <w:style w:type="paragraph" w:customStyle="1" w:styleId="Background">
    <w:name w:val="Background"/>
    <w:rsid w:val="00A87D6E"/>
    <w:pPr>
      <w:suppressAutoHyphens/>
    </w:pPr>
    <w:rPr>
      <w:rFonts w:eastAsia="DejaVu Sans" w:cs="Arial"/>
      <w:color w:val="00000A"/>
      <w:kern w:val="1"/>
      <w:sz w:val="24"/>
      <w:szCs w:val="24"/>
      <w:lang w:val="en-US" w:eastAsia="zh-CN" w:bidi="hi-IN"/>
    </w:rPr>
  </w:style>
  <w:style w:type="paragraph" w:customStyle="1" w:styleId="Notes">
    <w:name w:val="Notes"/>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Outline1">
    <w:name w:val="Outline 1"/>
    <w:rsid w:val="00A87D6E"/>
    <w:pPr>
      <w:suppressAutoHyphens/>
      <w:spacing w:after="283"/>
    </w:pPr>
    <w:rPr>
      <w:rFonts w:ascii="Lohit Hindi" w:eastAsia="DejaVu Sans" w:hAnsi="Lohit Hindi" w:cs="Arial"/>
      <w:color w:val="00000A"/>
      <w:kern w:val="1"/>
      <w:sz w:val="64"/>
      <w:szCs w:val="24"/>
      <w:lang w:val="en-US" w:eastAsia="zh-CN" w:bidi="hi-IN"/>
    </w:rPr>
  </w:style>
  <w:style w:type="paragraph" w:customStyle="1" w:styleId="Outline2">
    <w:name w:val="Outline 2"/>
    <w:basedOn w:val="Outline1"/>
    <w:rsid w:val="00A87D6E"/>
    <w:pPr>
      <w:spacing w:after="227"/>
    </w:pPr>
    <w:rPr>
      <w:rFonts w:cs="Lohit Hindi"/>
      <w:sz w:val="48"/>
    </w:rPr>
  </w:style>
  <w:style w:type="paragraph" w:customStyle="1" w:styleId="Outline3">
    <w:name w:val="Outline 3"/>
    <w:basedOn w:val="Outline2"/>
    <w:rsid w:val="00A87D6E"/>
    <w:pPr>
      <w:spacing w:after="170"/>
    </w:pPr>
    <w:rPr>
      <w:sz w:val="40"/>
    </w:rPr>
  </w:style>
  <w:style w:type="paragraph" w:customStyle="1" w:styleId="Outline4">
    <w:name w:val="Outline 4"/>
    <w:basedOn w:val="Outline3"/>
    <w:rsid w:val="00A87D6E"/>
    <w:pPr>
      <w:spacing w:after="113"/>
    </w:pPr>
  </w:style>
  <w:style w:type="paragraph" w:customStyle="1" w:styleId="Outline5">
    <w:name w:val="Outline 5"/>
    <w:basedOn w:val="Outline4"/>
    <w:rsid w:val="00A87D6E"/>
    <w:pPr>
      <w:spacing w:after="57"/>
    </w:pPr>
  </w:style>
  <w:style w:type="paragraph" w:customStyle="1" w:styleId="Outline6">
    <w:name w:val="Outline 6"/>
    <w:basedOn w:val="Outline5"/>
    <w:rsid w:val="00A87D6E"/>
  </w:style>
  <w:style w:type="paragraph" w:customStyle="1" w:styleId="Outline7">
    <w:name w:val="Outline 7"/>
    <w:basedOn w:val="Outline6"/>
    <w:rsid w:val="00A87D6E"/>
  </w:style>
  <w:style w:type="paragraph" w:customStyle="1" w:styleId="Outline8">
    <w:name w:val="Outline 8"/>
    <w:basedOn w:val="Outline7"/>
    <w:rsid w:val="00A87D6E"/>
  </w:style>
  <w:style w:type="paragraph" w:customStyle="1" w:styleId="Outline9">
    <w:name w:val="Outline 9"/>
    <w:basedOn w:val="Outline8"/>
    <w:rsid w:val="00A87D6E"/>
  </w:style>
  <w:style w:type="paragraph" w:customStyle="1" w:styleId="EnblancoLTGliederung1">
    <w:name w:val="En blanco~LT~Gliederung 1"/>
    <w:rsid w:val="00A87D6E"/>
    <w:pPr>
      <w:suppressAutoHyphens/>
      <w:spacing w:after="283"/>
    </w:pPr>
    <w:rPr>
      <w:rFonts w:ascii="Lohit Hindi" w:eastAsia="DejaVu Sans" w:hAnsi="Lohit Hindi" w:cs="Arial"/>
      <w:color w:val="00000A"/>
      <w:kern w:val="1"/>
      <w:sz w:val="64"/>
      <w:szCs w:val="24"/>
      <w:lang w:val="en-US" w:eastAsia="zh-CN" w:bidi="hi-IN"/>
    </w:rPr>
  </w:style>
  <w:style w:type="paragraph" w:customStyle="1" w:styleId="EnblancoLTGliederung2">
    <w:name w:val="En blanco~LT~Gliederung 2"/>
    <w:basedOn w:val="EnblancoLTGliederung1"/>
    <w:rsid w:val="00A87D6E"/>
    <w:pPr>
      <w:spacing w:after="227"/>
    </w:pPr>
    <w:rPr>
      <w:rFonts w:cs="Lohit Hindi"/>
      <w:sz w:val="48"/>
    </w:rPr>
  </w:style>
  <w:style w:type="paragraph" w:customStyle="1" w:styleId="EnblancoLTGliederung3">
    <w:name w:val="En blanco~LT~Gliederung 3"/>
    <w:basedOn w:val="EnblancoLTGliederung2"/>
    <w:rsid w:val="00A87D6E"/>
    <w:pPr>
      <w:spacing w:after="170"/>
    </w:pPr>
    <w:rPr>
      <w:sz w:val="40"/>
    </w:rPr>
  </w:style>
  <w:style w:type="paragraph" w:customStyle="1" w:styleId="EnblancoLTGliederung4">
    <w:name w:val="En blanco~LT~Gliederung 4"/>
    <w:basedOn w:val="EnblancoLTGliederung3"/>
    <w:rsid w:val="00A87D6E"/>
    <w:pPr>
      <w:spacing w:after="113"/>
    </w:pPr>
  </w:style>
  <w:style w:type="paragraph" w:customStyle="1" w:styleId="EnblancoLTGliederung5">
    <w:name w:val="En blanco~LT~Gliederung 5"/>
    <w:basedOn w:val="EnblancoLTGliederung4"/>
    <w:rsid w:val="00A87D6E"/>
    <w:pPr>
      <w:spacing w:after="57"/>
    </w:pPr>
  </w:style>
  <w:style w:type="paragraph" w:customStyle="1" w:styleId="EnblancoLTGliederung6">
    <w:name w:val="En blanco~LT~Gliederung 6"/>
    <w:basedOn w:val="EnblancoLTGliederung5"/>
    <w:rsid w:val="00A87D6E"/>
  </w:style>
  <w:style w:type="paragraph" w:customStyle="1" w:styleId="EnblancoLTGliederung7">
    <w:name w:val="En blanco~LT~Gliederung 7"/>
    <w:basedOn w:val="EnblancoLTGliederung6"/>
    <w:rsid w:val="00A87D6E"/>
  </w:style>
  <w:style w:type="paragraph" w:customStyle="1" w:styleId="EnblancoLTGliederung8">
    <w:name w:val="En blanco~LT~Gliederung 8"/>
    <w:basedOn w:val="EnblancoLTGliederung7"/>
    <w:rsid w:val="00A87D6E"/>
  </w:style>
  <w:style w:type="paragraph" w:customStyle="1" w:styleId="EnblancoLTGliederung9">
    <w:name w:val="En blanco~LT~Gliederung 9"/>
    <w:basedOn w:val="EnblancoLTGliederung8"/>
    <w:rsid w:val="00A87D6E"/>
  </w:style>
  <w:style w:type="paragraph" w:customStyle="1" w:styleId="EnblancoLTTitel">
    <w:name w:val="En blanco~LT~Titel"/>
    <w:rsid w:val="00A87D6E"/>
    <w:pPr>
      <w:suppressAutoHyphens/>
    </w:pPr>
    <w:rPr>
      <w:rFonts w:ascii="Lohit Hindi" w:eastAsia="DejaVu Sans" w:hAnsi="Lohit Hindi" w:cs="Arial"/>
      <w:color w:val="00000A"/>
      <w:kern w:val="1"/>
      <w:sz w:val="36"/>
      <w:szCs w:val="24"/>
      <w:lang w:val="en-US" w:eastAsia="zh-CN" w:bidi="hi-IN"/>
    </w:rPr>
  </w:style>
  <w:style w:type="paragraph" w:customStyle="1" w:styleId="EnblancoLTUntertitel">
    <w:name w:val="En blanco~LT~Untertitel"/>
    <w:rsid w:val="00A87D6E"/>
    <w:pPr>
      <w:suppressAutoHyphens/>
      <w:jc w:val="center"/>
    </w:pPr>
    <w:rPr>
      <w:rFonts w:ascii="Lohit Hindi" w:eastAsia="DejaVu Sans" w:hAnsi="Lohit Hindi" w:cs="Arial"/>
      <w:color w:val="00000A"/>
      <w:kern w:val="1"/>
      <w:sz w:val="64"/>
      <w:szCs w:val="24"/>
      <w:lang w:val="en-US" w:eastAsia="zh-CN" w:bidi="hi-IN"/>
    </w:rPr>
  </w:style>
  <w:style w:type="paragraph" w:customStyle="1" w:styleId="EnblancoLTNotizen">
    <w:name w:val="En blanco~LT~Notizen"/>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EnblancoLTHintergrundobjekte">
    <w:name w:val="En blanco~LT~Hintergrundobjekte"/>
    <w:rsid w:val="00A87D6E"/>
    <w:pPr>
      <w:suppressAutoHyphens/>
    </w:pPr>
    <w:rPr>
      <w:rFonts w:eastAsia="DejaVu Sans" w:cs="Arial"/>
      <w:color w:val="00000A"/>
      <w:kern w:val="1"/>
      <w:sz w:val="24"/>
      <w:szCs w:val="24"/>
      <w:lang w:val="en-US" w:eastAsia="zh-CN" w:bidi="hi-IN"/>
    </w:rPr>
  </w:style>
  <w:style w:type="paragraph" w:customStyle="1" w:styleId="EnblancoLTHintergrund">
    <w:name w:val="En blanco~LT~Hintergrund"/>
    <w:rsid w:val="00A87D6E"/>
    <w:pPr>
      <w:suppressAutoHyphens/>
    </w:pPr>
    <w:rPr>
      <w:rFonts w:eastAsia="DejaVu Sans" w:cs="Arial"/>
      <w:color w:val="00000A"/>
      <w:kern w:val="1"/>
      <w:sz w:val="24"/>
      <w:szCs w:val="24"/>
      <w:lang w:val="en-US" w:eastAsia="zh-CN" w:bidi="hi-IN"/>
    </w:rPr>
  </w:style>
  <w:style w:type="paragraph" w:customStyle="1" w:styleId="BlankSlideLTGliederung1">
    <w:name w:val="Blank Slide~LT~Gliederung 1"/>
    <w:rsid w:val="00A87D6E"/>
    <w:pPr>
      <w:suppressAutoHyphens/>
      <w:spacing w:after="283"/>
    </w:pPr>
    <w:rPr>
      <w:rFonts w:ascii="DejaVu Sans" w:eastAsia="DejaVu Sans" w:hAnsi="DejaVu Sans" w:cs="Arial"/>
      <w:color w:val="00000A"/>
      <w:kern w:val="1"/>
      <w:sz w:val="36"/>
      <w:szCs w:val="24"/>
      <w:lang w:val="en-US" w:eastAsia="zh-CN" w:bidi="hi-IN"/>
    </w:rPr>
  </w:style>
  <w:style w:type="paragraph" w:customStyle="1" w:styleId="BlankSlideLTGliederung2">
    <w:name w:val="Blank Slide~LT~Gliederung 2"/>
    <w:basedOn w:val="BlankSlideLTGliederung1"/>
    <w:rsid w:val="00A87D6E"/>
    <w:pPr>
      <w:spacing w:after="227"/>
    </w:pPr>
    <w:rPr>
      <w:rFonts w:cs="DejaVu Sans"/>
    </w:rPr>
  </w:style>
  <w:style w:type="paragraph" w:customStyle="1" w:styleId="BlankSlideLTGliederung3">
    <w:name w:val="Blank Slide~LT~Gliederung 3"/>
    <w:basedOn w:val="BlankSlideLTGliederung2"/>
    <w:rsid w:val="00A87D6E"/>
    <w:pPr>
      <w:spacing w:after="170"/>
    </w:pPr>
  </w:style>
  <w:style w:type="paragraph" w:customStyle="1" w:styleId="BlankSlideLTGliederung4">
    <w:name w:val="Blank Slide~LT~Gliederung 4"/>
    <w:basedOn w:val="BlankSlideLTGliederung3"/>
    <w:rsid w:val="00A87D6E"/>
    <w:pPr>
      <w:spacing w:after="113"/>
    </w:pPr>
  </w:style>
  <w:style w:type="paragraph" w:customStyle="1" w:styleId="BlankSlideLTGliederung5">
    <w:name w:val="Blank Slide~LT~Gliederung 5"/>
    <w:basedOn w:val="BlankSlideLTGliederung4"/>
    <w:rsid w:val="00A87D6E"/>
    <w:pPr>
      <w:spacing w:after="57"/>
    </w:pPr>
    <w:rPr>
      <w:sz w:val="40"/>
    </w:rPr>
  </w:style>
  <w:style w:type="paragraph" w:customStyle="1" w:styleId="BlankSlideLTGliederung6">
    <w:name w:val="Blank Slide~LT~Gliederung 6"/>
    <w:basedOn w:val="BlankSlideLTGliederung5"/>
    <w:rsid w:val="00A87D6E"/>
  </w:style>
  <w:style w:type="paragraph" w:customStyle="1" w:styleId="BlankSlideLTGliederung7">
    <w:name w:val="Blank Slide~LT~Gliederung 7"/>
    <w:basedOn w:val="BlankSlideLTGliederung6"/>
    <w:rsid w:val="00A87D6E"/>
  </w:style>
  <w:style w:type="paragraph" w:customStyle="1" w:styleId="BlankSlideLTGliederung8">
    <w:name w:val="Blank Slide~LT~Gliederung 8"/>
    <w:basedOn w:val="BlankSlideLTGliederung7"/>
    <w:rsid w:val="00A87D6E"/>
  </w:style>
  <w:style w:type="paragraph" w:customStyle="1" w:styleId="BlankSlideLTGliederung9">
    <w:name w:val="Blank Slide~LT~Gliederung 9"/>
    <w:basedOn w:val="BlankSlideLTGliederung8"/>
    <w:rsid w:val="00A87D6E"/>
  </w:style>
  <w:style w:type="paragraph" w:customStyle="1" w:styleId="BlankSlideLTTitel">
    <w:name w:val="Blank Slide~LT~Titel"/>
    <w:rsid w:val="00A87D6E"/>
    <w:pPr>
      <w:suppressAutoHyphens/>
    </w:pPr>
    <w:rPr>
      <w:rFonts w:ascii="DejaVu Sans" w:eastAsia="DejaVu Sans" w:hAnsi="DejaVu Sans" w:cs="Arial"/>
      <w:color w:val="00000A"/>
      <w:kern w:val="1"/>
      <w:sz w:val="36"/>
      <w:szCs w:val="24"/>
      <w:lang w:val="en-US" w:eastAsia="zh-CN" w:bidi="hi-IN"/>
    </w:rPr>
  </w:style>
  <w:style w:type="paragraph" w:customStyle="1" w:styleId="BlankSlideLTUntertitel">
    <w:name w:val="Blank Slide~LT~Untertitel"/>
    <w:rsid w:val="00A87D6E"/>
    <w:pPr>
      <w:suppressAutoHyphens/>
      <w:jc w:val="center"/>
    </w:pPr>
    <w:rPr>
      <w:rFonts w:ascii="Lohit Hindi" w:eastAsia="DejaVu Sans" w:hAnsi="Lohit Hindi" w:cs="Arial"/>
      <w:color w:val="00000A"/>
      <w:kern w:val="1"/>
      <w:sz w:val="64"/>
      <w:szCs w:val="24"/>
      <w:lang w:val="en-US" w:eastAsia="zh-CN" w:bidi="hi-IN"/>
    </w:rPr>
  </w:style>
  <w:style w:type="paragraph" w:customStyle="1" w:styleId="BlankSlideLTNotizen">
    <w:name w:val="Blank Slide~LT~Notizen"/>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BlankSlideLTHintergrundobjekte">
    <w:name w:val="Blank Slide~LT~Hintergrundobjekte"/>
    <w:rsid w:val="00A87D6E"/>
    <w:pPr>
      <w:suppressAutoHyphens/>
    </w:pPr>
    <w:rPr>
      <w:rFonts w:eastAsia="DejaVu Sans" w:cs="Arial"/>
      <w:color w:val="00000A"/>
      <w:kern w:val="1"/>
      <w:sz w:val="24"/>
      <w:szCs w:val="24"/>
      <w:lang w:val="en-US" w:eastAsia="zh-CN" w:bidi="hi-IN"/>
    </w:rPr>
  </w:style>
  <w:style w:type="paragraph" w:customStyle="1" w:styleId="BlankSlideLTHintergrund">
    <w:name w:val="Blank Slide~LT~Hintergrund"/>
    <w:rsid w:val="00A87D6E"/>
    <w:pPr>
      <w:suppressAutoHyphens/>
    </w:pPr>
    <w:rPr>
      <w:rFonts w:eastAsia="DejaVu Sans" w:cs="Arial"/>
      <w:color w:val="00000A"/>
      <w:kern w:val="1"/>
      <w:sz w:val="24"/>
      <w:szCs w:val="24"/>
      <w:lang w:val="en-US" w:eastAsia="zh-CN" w:bidi="hi-IN"/>
    </w:rPr>
  </w:style>
  <w:style w:type="paragraph" w:customStyle="1" w:styleId="DefaultLTGliederung1">
    <w:name w:val="Default~LT~Gliederung 1"/>
    <w:rsid w:val="00A87D6E"/>
    <w:pPr>
      <w:suppressAutoHyphens/>
      <w:spacing w:after="283"/>
    </w:pPr>
    <w:rPr>
      <w:rFonts w:ascii="DejaVu Sans" w:eastAsia="DejaVu Sans" w:hAnsi="DejaVu Sans" w:cs="Arial"/>
      <w:color w:val="00000A"/>
      <w:kern w:val="1"/>
      <w:sz w:val="36"/>
      <w:szCs w:val="24"/>
      <w:lang w:val="en-US" w:eastAsia="zh-CN" w:bidi="hi-IN"/>
    </w:rPr>
  </w:style>
  <w:style w:type="paragraph" w:customStyle="1" w:styleId="DefaultLTGliederung2">
    <w:name w:val="Default~LT~Gliederung 2"/>
    <w:basedOn w:val="DefaultLTGliederung1"/>
    <w:rsid w:val="00A87D6E"/>
    <w:pPr>
      <w:spacing w:after="227"/>
    </w:pPr>
    <w:rPr>
      <w:rFonts w:cs="DejaVu Sans"/>
    </w:rPr>
  </w:style>
  <w:style w:type="paragraph" w:customStyle="1" w:styleId="DefaultLTGliederung3">
    <w:name w:val="Default~LT~Gliederung 3"/>
    <w:basedOn w:val="DefaultLTGliederung2"/>
    <w:rsid w:val="00A87D6E"/>
    <w:pPr>
      <w:spacing w:after="170"/>
    </w:pPr>
  </w:style>
  <w:style w:type="paragraph" w:customStyle="1" w:styleId="DefaultLTGliederung4">
    <w:name w:val="Default~LT~Gliederung 4"/>
    <w:basedOn w:val="DefaultLTGliederung3"/>
    <w:rsid w:val="00A87D6E"/>
    <w:pPr>
      <w:spacing w:after="113"/>
    </w:pPr>
  </w:style>
  <w:style w:type="paragraph" w:customStyle="1" w:styleId="DefaultLTGliederung5">
    <w:name w:val="Default~LT~Gliederung 5"/>
    <w:basedOn w:val="DefaultLTGliederung4"/>
    <w:rsid w:val="00A87D6E"/>
    <w:pPr>
      <w:spacing w:after="57"/>
    </w:pPr>
    <w:rPr>
      <w:sz w:val="40"/>
    </w:rPr>
  </w:style>
  <w:style w:type="paragraph" w:customStyle="1" w:styleId="DefaultLTGliederung6">
    <w:name w:val="Default~LT~Gliederung 6"/>
    <w:basedOn w:val="DefaultLTGliederung5"/>
    <w:rsid w:val="00A87D6E"/>
  </w:style>
  <w:style w:type="paragraph" w:customStyle="1" w:styleId="DefaultLTGliederung7">
    <w:name w:val="Default~LT~Gliederung 7"/>
    <w:basedOn w:val="DefaultLTGliederung6"/>
    <w:rsid w:val="00A87D6E"/>
  </w:style>
  <w:style w:type="paragraph" w:customStyle="1" w:styleId="DefaultLTGliederung8">
    <w:name w:val="Default~LT~Gliederung 8"/>
    <w:basedOn w:val="DefaultLTGliederung7"/>
    <w:rsid w:val="00A87D6E"/>
  </w:style>
  <w:style w:type="paragraph" w:customStyle="1" w:styleId="DefaultLTGliederung9">
    <w:name w:val="Default~LT~Gliederung 9"/>
    <w:basedOn w:val="DefaultLTGliederung8"/>
    <w:rsid w:val="00A87D6E"/>
  </w:style>
  <w:style w:type="paragraph" w:customStyle="1" w:styleId="DefaultLTTitel">
    <w:name w:val="Default~LT~Titel"/>
    <w:rsid w:val="00A87D6E"/>
    <w:pPr>
      <w:suppressAutoHyphens/>
    </w:pPr>
    <w:rPr>
      <w:rFonts w:ascii="DejaVu Sans" w:eastAsia="DejaVu Sans" w:hAnsi="DejaVu Sans" w:cs="Arial"/>
      <w:color w:val="00000A"/>
      <w:kern w:val="1"/>
      <w:sz w:val="36"/>
      <w:szCs w:val="24"/>
      <w:lang w:val="en-US" w:eastAsia="zh-CN" w:bidi="hi-IN"/>
    </w:rPr>
  </w:style>
  <w:style w:type="paragraph" w:customStyle="1" w:styleId="DefaultLTUntertitel">
    <w:name w:val="Default~LT~Untertitel"/>
    <w:rsid w:val="00A87D6E"/>
    <w:pPr>
      <w:suppressAutoHyphens/>
      <w:jc w:val="center"/>
    </w:pPr>
    <w:rPr>
      <w:rFonts w:ascii="Lohit Hindi" w:eastAsia="DejaVu Sans" w:hAnsi="Lohit Hindi" w:cs="Arial"/>
      <w:color w:val="00000A"/>
      <w:kern w:val="1"/>
      <w:sz w:val="64"/>
      <w:szCs w:val="24"/>
      <w:lang w:val="en-US" w:eastAsia="zh-CN" w:bidi="hi-IN"/>
    </w:rPr>
  </w:style>
  <w:style w:type="paragraph" w:customStyle="1" w:styleId="DefaultLTNotizen">
    <w:name w:val="Default~LT~Notizen"/>
    <w:rsid w:val="00A87D6E"/>
    <w:pPr>
      <w:suppressAutoHyphens/>
      <w:ind w:left="340" w:hanging="340"/>
    </w:pPr>
    <w:rPr>
      <w:rFonts w:ascii="Lohit Hindi" w:eastAsia="DejaVu Sans" w:hAnsi="Lohit Hindi" w:cs="Arial"/>
      <w:color w:val="00000A"/>
      <w:kern w:val="1"/>
      <w:sz w:val="40"/>
      <w:szCs w:val="24"/>
      <w:lang w:val="en-US" w:eastAsia="zh-CN" w:bidi="hi-IN"/>
    </w:rPr>
  </w:style>
  <w:style w:type="paragraph" w:customStyle="1" w:styleId="DefaultLTHintergrundobjekte">
    <w:name w:val="Default~LT~Hintergrundobjekte"/>
    <w:rsid w:val="00A87D6E"/>
    <w:pPr>
      <w:suppressAutoHyphens/>
    </w:pPr>
    <w:rPr>
      <w:rFonts w:eastAsia="DejaVu Sans" w:cs="Arial"/>
      <w:color w:val="00000A"/>
      <w:kern w:val="1"/>
      <w:sz w:val="24"/>
      <w:szCs w:val="24"/>
      <w:lang w:val="en-US" w:eastAsia="zh-CN" w:bidi="hi-IN"/>
    </w:rPr>
  </w:style>
  <w:style w:type="paragraph" w:customStyle="1" w:styleId="DefaultLTHintergrund">
    <w:name w:val="Default~LT~Hintergrund"/>
    <w:rsid w:val="00A87D6E"/>
    <w:pPr>
      <w:suppressAutoHyphens/>
    </w:pPr>
    <w:rPr>
      <w:rFonts w:eastAsia="DejaVu Sans" w:cs="Arial"/>
      <w:color w:val="00000A"/>
      <w:kern w:val="1"/>
      <w:sz w:val="24"/>
      <w:szCs w:val="24"/>
      <w:lang w:val="en-US" w:eastAsia="zh-CN" w:bidi="hi-IN"/>
    </w:rPr>
  </w:style>
  <w:style w:type="paragraph" w:customStyle="1" w:styleId="TableContents">
    <w:name w:val="Table Contents"/>
    <w:basedOn w:val="Normale"/>
    <w:rsid w:val="00A87D6E"/>
    <w:pPr>
      <w:suppressLineNumbers/>
    </w:pPr>
  </w:style>
  <w:style w:type="paragraph" w:customStyle="1" w:styleId="TableHeading">
    <w:name w:val="Table Heading"/>
    <w:basedOn w:val="TableContents"/>
    <w:rsid w:val="00A87D6E"/>
    <w:pPr>
      <w:jc w:val="center"/>
    </w:pPr>
    <w:rPr>
      <w:b/>
      <w:bCs/>
    </w:rPr>
  </w:style>
  <w:style w:type="paragraph" w:customStyle="1" w:styleId="Textocomentario1">
    <w:name w:val="Texto comentario1"/>
    <w:basedOn w:val="Normale"/>
    <w:rsid w:val="00A87D6E"/>
    <w:rPr>
      <w:sz w:val="20"/>
    </w:rPr>
  </w:style>
  <w:style w:type="paragraph" w:styleId="Soggettocommento">
    <w:name w:val="annotation subject"/>
    <w:basedOn w:val="Textocomentario1"/>
    <w:next w:val="Textocomentario1"/>
    <w:rsid w:val="00A87D6E"/>
    <w:rPr>
      <w:b/>
      <w:bCs/>
    </w:rPr>
  </w:style>
  <w:style w:type="paragraph" w:styleId="Testofumetto">
    <w:name w:val="Balloon Text"/>
    <w:basedOn w:val="Normale"/>
    <w:rsid w:val="00A87D6E"/>
    <w:pPr>
      <w:spacing w:after="0"/>
    </w:pPr>
    <w:rPr>
      <w:rFonts w:ascii="Tahoma" w:hAnsi="Tahoma" w:cs="Tahoma"/>
      <w:sz w:val="16"/>
      <w:szCs w:val="16"/>
    </w:rPr>
  </w:style>
  <w:style w:type="paragraph" w:customStyle="1" w:styleId="Cuadrculamedia1-nfasis21">
    <w:name w:val="Cuadrícula media 1 - Énfasis 21"/>
    <w:basedOn w:val="Normale"/>
    <w:rsid w:val="00A87D6E"/>
    <w:pPr>
      <w:suppressAutoHyphens w:val="0"/>
      <w:spacing w:line="276" w:lineRule="auto"/>
      <w:ind w:left="720"/>
      <w:contextualSpacing/>
      <w:jc w:val="left"/>
    </w:pPr>
    <w:rPr>
      <w:rFonts w:ascii="Calibri" w:eastAsia="Calibri" w:hAnsi="Calibri" w:cs="Calibri"/>
      <w:color w:val="auto"/>
      <w:sz w:val="22"/>
      <w:szCs w:val="22"/>
    </w:rPr>
  </w:style>
  <w:style w:type="paragraph" w:customStyle="1" w:styleId="EndNoteBibliographyTitle">
    <w:name w:val="EndNote Bibliography Title"/>
    <w:basedOn w:val="Normale"/>
    <w:link w:val="EndNoteBibliographyTitleCar"/>
    <w:rsid w:val="006E289F"/>
    <w:pPr>
      <w:spacing w:after="0"/>
      <w:jc w:val="center"/>
    </w:pPr>
    <w:rPr>
      <w:noProof/>
    </w:rPr>
  </w:style>
  <w:style w:type="character" w:customStyle="1" w:styleId="TAMainTextCar">
    <w:name w:val="TA_Main_Text Car"/>
    <w:link w:val="TAMainText"/>
    <w:rsid w:val="006E289F"/>
    <w:rPr>
      <w:rFonts w:ascii="Times" w:hAnsi="Times" w:cs="Times"/>
      <w:color w:val="00000A"/>
      <w:kern w:val="1"/>
      <w:sz w:val="24"/>
      <w:lang w:val="en-US" w:eastAsia="zh-CN"/>
    </w:rPr>
  </w:style>
  <w:style w:type="character" w:customStyle="1" w:styleId="EndNoteBibliographyTitleCar">
    <w:name w:val="EndNote Bibliography Title Car"/>
    <w:link w:val="EndNoteBibliographyTitle"/>
    <w:rsid w:val="006E289F"/>
    <w:rPr>
      <w:rFonts w:ascii="Times" w:hAnsi="Times" w:cs="Times"/>
      <w:noProof/>
      <w:color w:val="00000A"/>
      <w:kern w:val="1"/>
      <w:sz w:val="24"/>
      <w:szCs w:val="24"/>
      <w:lang w:val="en-US" w:eastAsia="zh-CN"/>
    </w:rPr>
  </w:style>
  <w:style w:type="paragraph" w:customStyle="1" w:styleId="EndNoteBibliography">
    <w:name w:val="EndNote Bibliography"/>
    <w:basedOn w:val="Normale"/>
    <w:link w:val="EndNoteBibliographyCar"/>
    <w:rsid w:val="006E289F"/>
    <w:pPr>
      <w:jc w:val="left"/>
    </w:pPr>
    <w:rPr>
      <w:noProof/>
    </w:rPr>
  </w:style>
  <w:style w:type="character" w:customStyle="1" w:styleId="EndNoteBibliographyCar">
    <w:name w:val="EndNote Bibliography Car"/>
    <w:link w:val="EndNoteBibliography"/>
    <w:rsid w:val="006E289F"/>
    <w:rPr>
      <w:rFonts w:ascii="Times" w:hAnsi="Times" w:cs="Times"/>
      <w:noProof/>
      <w:color w:val="00000A"/>
      <w:kern w:val="1"/>
      <w:sz w:val="24"/>
      <w:szCs w:val="24"/>
      <w:lang w:val="en-US" w:eastAsia="zh-CN"/>
    </w:rPr>
  </w:style>
  <w:style w:type="paragraph" w:styleId="Testocommento">
    <w:name w:val="annotation text"/>
    <w:basedOn w:val="Normale"/>
    <w:link w:val="TestocommentoCarattere"/>
    <w:uiPriority w:val="99"/>
    <w:semiHidden/>
    <w:unhideWhenUsed/>
    <w:rsid w:val="00A87D6E"/>
    <w:rPr>
      <w:sz w:val="20"/>
    </w:rPr>
  </w:style>
  <w:style w:type="character" w:customStyle="1" w:styleId="TestocommentoCarattere">
    <w:name w:val="Testo commento Carattere"/>
    <w:link w:val="Testocommento"/>
    <w:uiPriority w:val="99"/>
    <w:semiHidden/>
    <w:rsid w:val="00A87D6E"/>
    <w:rPr>
      <w:rFonts w:ascii="Times" w:hAnsi="Times" w:cs="Times"/>
      <w:color w:val="00000A"/>
      <w:kern w:val="1"/>
      <w:lang w:val="en-US" w:eastAsia="zh-CN"/>
    </w:rPr>
  </w:style>
  <w:style w:type="character" w:styleId="Rimandocommento">
    <w:name w:val="annotation reference"/>
    <w:uiPriority w:val="99"/>
    <w:semiHidden/>
    <w:unhideWhenUsed/>
    <w:rsid w:val="00A87D6E"/>
    <w:rPr>
      <w:sz w:val="16"/>
      <w:szCs w:val="16"/>
    </w:rPr>
  </w:style>
  <w:style w:type="paragraph" w:styleId="NormaleWeb">
    <w:name w:val="Normal (Web)"/>
    <w:basedOn w:val="Normale"/>
    <w:uiPriority w:val="99"/>
    <w:unhideWhenUsed/>
    <w:rsid w:val="005F22C5"/>
    <w:pPr>
      <w:suppressAutoHyphens w:val="0"/>
      <w:spacing w:before="100" w:beforeAutospacing="1" w:after="100" w:afterAutospacing="1"/>
      <w:jc w:val="left"/>
    </w:pPr>
    <w:rPr>
      <w:rFonts w:ascii="Times New Roman" w:eastAsia="MS Mincho" w:hAnsi="Times New Roman" w:cs="Times New Roman"/>
      <w:color w:val="auto"/>
      <w:kern w:val="0"/>
      <w:lang w:val="it-IT" w:eastAsia="it-IT"/>
    </w:rPr>
  </w:style>
  <w:style w:type="paragraph" w:styleId="Intestazione">
    <w:name w:val="header"/>
    <w:basedOn w:val="Normale"/>
    <w:link w:val="IntestazioneCarattere"/>
    <w:uiPriority w:val="99"/>
    <w:unhideWhenUsed/>
    <w:rsid w:val="005F22C5"/>
    <w:pPr>
      <w:tabs>
        <w:tab w:val="center" w:pos="4819"/>
        <w:tab w:val="right" w:pos="9638"/>
      </w:tabs>
      <w:spacing w:after="0"/>
    </w:pPr>
  </w:style>
  <w:style w:type="character" w:customStyle="1" w:styleId="IntestazioneCarattere">
    <w:name w:val="Intestazione Carattere"/>
    <w:link w:val="Intestazione"/>
    <w:uiPriority w:val="99"/>
    <w:rsid w:val="005F22C5"/>
    <w:rPr>
      <w:rFonts w:ascii="Times" w:hAnsi="Times" w:cs="Times"/>
      <w:color w:val="00000A"/>
      <w:kern w:val="1"/>
      <w:sz w:val="24"/>
      <w:lang w:val="en-US" w:eastAsia="zh-CN"/>
    </w:rPr>
  </w:style>
  <w:style w:type="character" w:styleId="Testosegnaposto">
    <w:name w:val="Placeholder Text"/>
    <w:basedOn w:val="Caratterepredefinitoparagrafo"/>
    <w:uiPriority w:val="99"/>
    <w:semiHidden/>
    <w:rsid w:val="00056969"/>
    <w:rPr>
      <w:color w:val="808080"/>
    </w:rPr>
  </w:style>
  <w:style w:type="paragraph" w:styleId="Paragrafoelenco">
    <w:name w:val="List Paragraph"/>
    <w:basedOn w:val="Normale"/>
    <w:uiPriority w:val="34"/>
    <w:qFormat/>
    <w:rsid w:val="00BA30C5"/>
    <w:pPr>
      <w:ind w:left="720"/>
      <w:contextualSpacing/>
    </w:pPr>
  </w:style>
</w:styles>
</file>

<file path=word/webSettings.xml><?xml version="1.0" encoding="utf-8"?>
<w:webSettings xmlns:r="http://schemas.openxmlformats.org/officeDocument/2006/relationships" xmlns:w="http://schemas.openxmlformats.org/wordprocessingml/2006/main">
  <w:divs>
    <w:div w:id="301161108">
      <w:bodyDiv w:val="1"/>
      <w:marLeft w:val="0"/>
      <w:marRight w:val="0"/>
      <w:marTop w:val="0"/>
      <w:marBottom w:val="0"/>
      <w:divBdr>
        <w:top w:val="none" w:sz="0" w:space="0" w:color="auto"/>
        <w:left w:val="none" w:sz="0" w:space="0" w:color="auto"/>
        <w:bottom w:val="none" w:sz="0" w:space="0" w:color="auto"/>
        <w:right w:val="none" w:sz="0" w:space="0" w:color="auto"/>
      </w:divBdr>
    </w:div>
    <w:div w:id="411852939">
      <w:bodyDiv w:val="1"/>
      <w:marLeft w:val="0"/>
      <w:marRight w:val="0"/>
      <w:marTop w:val="0"/>
      <w:marBottom w:val="0"/>
      <w:divBdr>
        <w:top w:val="none" w:sz="0" w:space="0" w:color="auto"/>
        <w:left w:val="none" w:sz="0" w:space="0" w:color="auto"/>
        <w:bottom w:val="none" w:sz="0" w:space="0" w:color="auto"/>
        <w:right w:val="none" w:sz="0" w:space="0" w:color="auto"/>
      </w:divBdr>
      <w:divsChild>
        <w:div w:id="346370439">
          <w:marLeft w:val="0"/>
          <w:marRight w:val="0"/>
          <w:marTop w:val="0"/>
          <w:marBottom w:val="0"/>
          <w:divBdr>
            <w:top w:val="none" w:sz="0" w:space="0" w:color="auto"/>
            <w:left w:val="none" w:sz="0" w:space="0" w:color="auto"/>
            <w:bottom w:val="none" w:sz="0" w:space="0" w:color="auto"/>
            <w:right w:val="none" w:sz="0" w:space="0" w:color="auto"/>
          </w:divBdr>
        </w:div>
        <w:div w:id="1510563614">
          <w:marLeft w:val="0"/>
          <w:marRight w:val="0"/>
          <w:marTop w:val="0"/>
          <w:marBottom w:val="0"/>
          <w:divBdr>
            <w:top w:val="none" w:sz="0" w:space="0" w:color="auto"/>
            <w:left w:val="none" w:sz="0" w:space="0" w:color="auto"/>
            <w:bottom w:val="none" w:sz="0" w:space="0" w:color="auto"/>
            <w:right w:val="none" w:sz="0" w:space="0" w:color="auto"/>
          </w:divBdr>
        </w:div>
        <w:div w:id="2018380333">
          <w:marLeft w:val="0"/>
          <w:marRight w:val="0"/>
          <w:marTop w:val="0"/>
          <w:marBottom w:val="0"/>
          <w:divBdr>
            <w:top w:val="none" w:sz="0" w:space="0" w:color="auto"/>
            <w:left w:val="none" w:sz="0" w:space="0" w:color="auto"/>
            <w:bottom w:val="none" w:sz="0" w:space="0" w:color="auto"/>
            <w:right w:val="none" w:sz="0" w:space="0" w:color="auto"/>
          </w:divBdr>
          <w:divsChild>
            <w:div w:id="46820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372970">
      <w:bodyDiv w:val="1"/>
      <w:marLeft w:val="0"/>
      <w:marRight w:val="0"/>
      <w:marTop w:val="0"/>
      <w:marBottom w:val="0"/>
      <w:divBdr>
        <w:top w:val="none" w:sz="0" w:space="0" w:color="auto"/>
        <w:left w:val="none" w:sz="0" w:space="0" w:color="auto"/>
        <w:bottom w:val="none" w:sz="0" w:space="0" w:color="auto"/>
        <w:right w:val="none" w:sz="0" w:space="0" w:color="auto"/>
      </w:divBdr>
      <w:divsChild>
        <w:div w:id="663513243">
          <w:marLeft w:val="0"/>
          <w:marRight w:val="0"/>
          <w:marTop w:val="0"/>
          <w:marBottom w:val="0"/>
          <w:divBdr>
            <w:top w:val="none" w:sz="0" w:space="0" w:color="auto"/>
            <w:left w:val="none" w:sz="0" w:space="0" w:color="auto"/>
            <w:bottom w:val="none" w:sz="0" w:space="0" w:color="auto"/>
            <w:right w:val="none" w:sz="0" w:space="0" w:color="auto"/>
          </w:divBdr>
        </w:div>
        <w:div w:id="837767046">
          <w:marLeft w:val="0"/>
          <w:marRight w:val="0"/>
          <w:marTop w:val="0"/>
          <w:marBottom w:val="0"/>
          <w:divBdr>
            <w:top w:val="none" w:sz="0" w:space="0" w:color="auto"/>
            <w:left w:val="none" w:sz="0" w:space="0" w:color="auto"/>
            <w:bottom w:val="none" w:sz="0" w:space="0" w:color="auto"/>
            <w:right w:val="none" w:sz="0" w:space="0" w:color="auto"/>
          </w:divBdr>
        </w:div>
        <w:div w:id="989094600">
          <w:marLeft w:val="0"/>
          <w:marRight w:val="0"/>
          <w:marTop w:val="0"/>
          <w:marBottom w:val="0"/>
          <w:divBdr>
            <w:top w:val="none" w:sz="0" w:space="0" w:color="auto"/>
            <w:left w:val="none" w:sz="0" w:space="0" w:color="auto"/>
            <w:bottom w:val="none" w:sz="0" w:space="0" w:color="auto"/>
            <w:right w:val="none" w:sz="0" w:space="0" w:color="auto"/>
          </w:divBdr>
        </w:div>
        <w:div w:id="1203518763">
          <w:marLeft w:val="0"/>
          <w:marRight w:val="0"/>
          <w:marTop w:val="0"/>
          <w:marBottom w:val="0"/>
          <w:divBdr>
            <w:top w:val="none" w:sz="0" w:space="0" w:color="auto"/>
            <w:left w:val="none" w:sz="0" w:space="0" w:color="auto"/>
            <w:bottom w:val="none" w:sz="0" w:space="0" w:color="auto"/>
            <w:right w:val="none" w:sz="0" w:space="0" w:color="auto"/>
          </w:divBdr>
        </w:div>
        <w:div w:id="1620913590">
          <w:marLeft w:val="0"/>
          <w:marRight w:val="0"/>
          <w:marTop w:val="0"/>
          <w:marBottom w:val="0"/>
          <w:divBdr>
            <w:top w:val="none" w:sz="0" w:space="0" w:color="auto"/>
            <w:left w:val="none" w:sz="0" w:space="0" w:color="auto"/>
            <w:bottom w:val="none" w:sz="0" w:space="0" w:color="auto"/>
            <w:right w:val="none" w:sz="0" w:space="0" w:color="auto"/>
          </w:divBdr>
        </w:div>
      </w:divsChild>
    </w:div>
    <w:div w:id="1437604131">
      <w:bodyDiv w:val="1"/>
      <w:marLeft w:val="0"/>
      <w:marRight w:val="0"/>
      <w:marTop w:val="0"/>
      <w:marBottom w:val="0"/>
      <w:divBdr>
        <w:top w:val="none" w:sz="0" w:space="0" w:color="auto"/>
        <w:left w:val="none" w:sz="0" w:space="0" w:color="auto"/>
        <w:bottom w:val="none" w:sz="0" w:space="0" w:color="auto"/>
        <w:right w:val="none" w:sz="0" w:space="0" w:color="auto"/>
      </w:divBdr>
    </w:div>
    <w:div w:id="1558738721">
      <w:bodyDiv w:val="1"/>
      <w:marLeft w:val="0"/>
      <w:marRight w:val="0"/>
      <w:marTop w:val="0"/>
      <w:marBottom w:val="0"/>
      <w:divBdr>
        <w:top w:val="none" w:sz="0" w:space="0" w:color="auto"/>
        <w:left w:val="none" w:sz="0" w:space="0" w:color="auto"/>
        <w:bottom w:val="none" w:sz="0" w:space="0" w:color="auto"/>
        <w:right w:val="none" w:sz="0" w:space="0" w:color="auto"/>
      </w:divBdr>
      <w:divsChild>
        <w:div w:id="1649938040">
          <w:marLeft w:val="0"/>
          <w:marRight w:val="0"/>
          <w:marTop w:val="0"/>
          <w:marBottom w:val="0"/>
          <w:divBdr>
            <w:top w:val="none" w:sz="0" w:space="0" w:color="auto"/>
            <w:left w:val="none" w:sz="0" w:space="0" w:color="auto"/>
            <w:bottom w:val="none" w:sz="0" w:space="0" w:color="auto"/>
            <w:right w:val="none" w:sz="0" w:space="0" w:color="auto"/>
          </w:divBdr>
          <w:divsChild>
            <w:div w:id="2030255517">
              <w:marLeft w:val="0"/>
              <w:marRight w:val="0"/>
              <w:marTop w:val="0"/>
              <w:marBottom w:val="0"/>
              <w:divBdr>
                <w:top w:val="none" w:sz="0" w:space="0" w:color="auto"/>
                <w:left w:val="none" w:sz="0" w:space="0" w:color="auto"/>
                <w:bottom w:val="none" w:sz="0" w:space="0" w:color="auto"/>
                <w:right w:val="none" w:sz="0" w:space="0" w:color="auto"/>
              </w:divBdr>
              <w:divsChild>
                <w:div w:id="618805375">
                  <w:marLeft w:val="0"/>
                  <w:marRight w:val="0"/>
                  <w:marTop w:val="0"/>
                  <w:marBottom w:val="0"/>
                  <w:divBdr>
                    <w:top w:val="none" w:sz="0" w:space="0" w:color="auto"/>
                    <w:left w:val="none" w:sz="0" w:space="0" w:color="auto"/>
                    <w:bottom w:val="none" w:sz="0" w:space="0" w:color="auto"/>
                    <w:right w:val="none" w:sz="0" w:space="0" w:color="auto"/>
                  </w:divBdr>
                  <w:divsChild>
                    <w:div w:id="683821120">
                      <w:marLeft w:val="0"/>
                      <w:marRight w:val="0"/>
                      <w:marTop w:val="0"/>
                      <w:marBottom w:val="0"/>
                      <w:divBdr>
                        <w:top w:val="none" w:sz="0" w:space="0" w:color="auto"/>
                        <w:left w:val="none" w:sz="0" w:space="0" w:color="auto"/>
                        <w:bottom w:val="none" w:sz="0" w:space="0" w:color="auto"/>
                        <w:right w:val="none" w:sz="0" w:space="0" w:color="auto"/>
                      </w:divBdr>
                      <w:divsChild>
                        <w:div w:id="38163379">
                          <w:marLeft w:val="0"/>
                          <w:marRight w:val="0"/>
                          <w:marTop w:val="0"/>
                          <w:marBottom w:val="0"/>
                          <w:divBdr>
                            <w:top w:val="none" w:sz="0" w:space="0" w:color="auto"/>
                            <w:left w:val="none" w:sz="0" w:space="0" w:color="auto"/>
                            <w:bottom w:val="none" w:sz="0" w:space="0" w:color="auto"/>
                            <w:right w:val="none" w:sz="0" w:space="0" w:color="auto"/>
                          </w:divBdr>
                          <w:divsChild>
                            <w:div w:id="2045012352">
                              <w:marLeft w:val="0"/>
                              <w:marRight w:val="0"/>
                              <w:marTop w:val="0"/>
                              <w:marBottom w:val="0"/>
                              <w:divBdr>
                                <w:top w:val="none" w:sz="0" w:space="0" w:color="auto"/>
                                <w:left w:val="none" w:sz="0" w:space="0" w:color="auto"/>
                                <w:bottom w:val="none" w:sz="0" w:space="0" w:color="auto"/>
                                <w:right w:val="none" w:sz="0" w:space="0" w:color="auto"/>
                              </w:divBdr>
                              <w:divsChild>
                                <w:div w:id="1822235940">
                                  <w:marLeft w:val="0"/>
                                  <w:marRight w:val="0"/>
                                  <w:marTop w:val="0"/>
                                  <w:marBottom w:val="0"/>
                                  <w:divBdr>
                                    <w:top w:val="none" w:sz="0" w:space="0" w:color="auto"/>
                                    <w:left w:val="none" w:sz="0" w:space="0" w:color="auto"/>
                                    <w:bottom w:val="none" w:sz="0" w:space="0" w:color="auto"/>
                                    <w:right w:val="none" w:sz="0" w:space="0" w:color="auto"/>
                                  </w:divBdr>
                                  <w:divsChild>
                                    <w:div w:id="803818457">
                                      <w:marLeft w:val="0"/>
                                      <w:marRight w:val="0"/>
                                      <w:marTop w:val="0"/>
                                      <w:marBottom w:val="0"/>
                                      <w:divBdr>
                                        <w:top w:val="none" w:sz="0" w:space="0" w:color="auto"/>
                                        <w:left w:val="none" w:sz="0" w:space="0" w:color="auto"/>
                                        <w:bottom w:val="none" w:sz="0" w:space="0" w:color="auto"/>
                                        <w:right w:val="none" w:sz="0" w:space="0" w:color="auto"/>
                                      </w:divBdr>
                                      <w:divsChild>
                                        <w:div w:id="1110704867">
                                          <w:marLeft w:val="0"/>
                                          <w:marRight w:val="0"/>
                                          <w:marTop w:val="0"/>
                                          <w:marBottom w:val="0"/>
                                          <w:divBdr>
                                            <w:top w:val="none" w:sz="0" w:space="0" w:color="auto"/>
                                            <w:left w:val="none" w:sz="0" w:space="0" w:color="auto"/>
                                            <w:bottom w:val="none" w:sz="0" w:space="0" w:color="auto"/>
                                            <w:right w:val="none" w:sz="0" w:space="0" w:color="auto"/>
                                          </w:divBdr>
                                          <w:divsChild>
                                            <w:div w:id="1116607083">
                                              <w:marLeft w:val="0"/>
                                              <w:marRight w:val="0"/>
                                              <w:marTop w:val="0"/>
                                              <w:marBottom w:val="0"/>
                                              <w:divBdr>
                                                <w:top w:val="none" w:sz="0" w:space="0" w:color="auto"/>
                                                <w:left w:val="none" w:sz="0" w:space="0" w:color="auto"/>
                                                <w:bottom w:val="none" w:sz="0" w:space="0" w:color="auto"/>
                                                <w:right w:val="none" w:sz="0" w:space="0" w:color="auto"/>
                                              </w:divBdr>
                                              <w:divsChild>
                                                <w:div w:id="1854956269">
                                                  <w:marLeft w:val="0"/>
                                                  <w:marRight w:val="0"/>
                                                  <w:marTop w:val="0"/>
                                                  <w:marBottom w:val="0"/>
                                                  <w:divBdr>
                                                    <w:top w:val="none" w:sz="0" w:space="0" w:color="auto"/>
                                                    <w:left w:val="none" w:sz="0" w:space="0" w:color="auto"/>
                                                    <w:bottom w:val="none" w:sz="0" w:space="0" w:color="auto"/>
                                                    <w:right w:val="none" w:sz="0" w:space="0" w:color="auto"/>
                                                  </w:divBdr>
                                                  <w:divsChild>
                                                    <w:div w:id="1757244632">
                                                      <w:marLeft w:val="0"/>
                                                      <w:marRight w:val="0"/>
                                                      <w:marTop w:val="0"/>
                                                      <w:marBottom w:val="0"/>
                                                      <w:divBdr>
                                                        <w:top w:val="none" w:sz="0" w:space="0" w:color="auto"/>
                                                        <w:left w:val="none" w:sz="0" w:space="0" w:color="auto"/>
                                                        <w:bottom w:val="none" w:sz="0" w:space="0" w:color="auto"/>
                                                        <w:right w:val="none" w:sz="0" w:space="0" w:color="auto"/>
                                                      </w:divBdr>
                                                      <w:divsChild>
                                                        <w:div w:id="714045171">
                                                          <w:marLeft w:val="0"/>
                                                          <w:marRight w:val="0"/>
                                                          <w:marTop w:val="0"/>
                                                          <w:marBottom w:val="0"/>
                                                          <w:divBdr>
                                                            <w:top w:val="none" w:sz="0" w:space="0" w:color="auto"/>
                                                            <w:left w:val="none" w:sz="0" w:space="0" w:color="auto"/>
                                                            <w:bottom w:val="none" w:sz="0" w:space="0" w:color="auto"/>
                                                            <w:right w:val="none" w:sz="0" w:space="0" w:color="auto"/>
                                                          </w:divBdr>
                                                          <w:divsChild>
                                                            <w:div w:id="572740160">
                                                              <w:marLeft w:val="0"/>
                                                              <w:marRight w:val="0"/>
                                                              <w:marTop w:val="0"/>
                                                              <w:marBottom w:val="0"/>
                                                              <w:divBdr>
                                                                <w:top w:val="none" w:sz="0" w:space="0" w:color="auto"/>
                                                                <w:left w:val="none" w:sz="0" w:space="0" w:color="auto"/>
                                                                <w:bottom w:val="none" w:sz="0" w:space="0" w:color="auto"/>
                                                                <w:right w:val="none" w:sz="0" w:space="0" w:color="auto"/>
                                                              </w:divBdr>
                                                              <w:divsChild>
                                                                <w:div w:id="1777827496">
                                                                  <w:marLeft w:val="0"/>
                                                                  <w:marRight w:val="0"/>
                                                                  <w:marTop w:val="0"/>
                                                                  <w:marBottom w:val="0"/>
                                                                  <w:divBdr>
                                                                    <w:top w:val="none" w:sz="0" w:space="0" w:color="auto"/>
                                                                    <w:left w:val="none" w:sz="0" w:space="0" w:color="auto"/>
                                                                    <w:bottom w:val="none" w:sz="0" w:space="0" w:color="auto"/>
                                                                    <w:right w:val="none" w:sz="0" w:space="0" w:color="auto"/>
                                                                  </w:divBdr>
                                                                  <w:divsChild>
                                                                    <w:div w:id="396704934">
                                                                      <w:marLeft w:val="0"/>
                                                                      <w:marRight w:val="0"/>
                                                                      <w:marTop w:val="0"/>
                                                                      <w:marBottom w:val="0"/>
                                                                      <w:divBdr>
                                                                        <w:top w:val="none" w:sz="0" w:space="0" w:color="auto"/>
                                                                        <w:left w:val="none" w:sz="0" w:space="0" w:color="auto"/>
                                                                        <w:bottom w:val="none" w:sz="0" w:space="0" w:color="auto"/>
                                                                        <w:right w:val="none" w:sz="0" w:space="0" w:color="auto"/>
                                                                      </w:divBdr>
                                                                      <w:divsChild>
                                                                        <w:div w:id="958608049">
                                                                          <w:marLeft w:val="0"/>
                                                                          <w:marRight w:val="0"/>
                                                                          <w:marTop w:val="0"/>
                                                                          <w:marBottom w:val="0"/>
                                                                          <w:divBdr>
                                                                            <w:top w:val="none" w:sz="0" w:space="0" w:color="auto"/>
                                                                            <w:left w:val="none" w:sz="0" w:space="0" w:color="auto"/>
                                                                            <w:bottom w:val="none" w:sz="0" w:space="0" w:color="auto"/>
                                                                            <w:right w:val="none" w:sz="0" w:space="0" w:color="auto"/>
                                                                          </w:divBdr>
                                                                          <w:divsChild>
                                                                            <w:div w:id="1876575819">
                                                                              <w:marLeft w:val="0"/>
                                                                              <w:marRight w:val="0"/>
                                                                              <w:marTop w:val="0"/>
                                                                              <w:marBottom w:val="0"/>
                                                                              <w:divBdr>
                                                                                <w:top w:val="none" w:sz="0" w:space="0" w:color="auto"/>
                                                                                <w:left w:val="none" w:sz="0" w:space="0" w:color="auto"/>
                                                                                <w:bottom w:val="none" w:sz="0" w:space="0" w:color="auto"/>
                                                                                <w:right w:val="none" w:sz="0" w:space="0" w:color="auto"/>
                                                                              </w:divBdr>
                                                                              <w:divsChild>
                                                                                <w:div w:id="1724867875">
                                                                                  <w:marLeft w:val="0"/>
                                                                                  <w:marRight w:val="0"/>
                                                                                  <w:marTop w:val="0"/>
                                                                                  <w:marBottom w:val="0"/>
                                                                                  <w:divBdr>
                                                                                    <w:top w:val="none" w:sz="0" w:space="0" w:color="auto"/>
                                                                                    <w:left w:val="none" w:sz="0" w:space="0" w:color="auto"/>
                                                                                    <w:bottom w:val="none" w:sz="0" w:space="0" w:color="auto"/>
                                                                                    <w:right w:val="none" w:sz="0" w:space="0" w:color="auto"/>
                                                                                  </w:divBdr>
                                                                                  <w:divsChild>
                                                                                    <w:div w:id="1116294207">
                                                                                      <w:marLeft w:val="0"/>
                                                                                      <w:marRight w:val="0"/>
                                                                                      <w:marTop w:val="0"/>
                                                                                      <w:marBottom w:val="0"/>
                                                                                      <w:divBdr>
                                                                                        <w:top w:val="none" w:sz="0" w:space="0" w:color="auto"/>
                                                                                        <w:left w:val="none" w:sz="0" w:space="0" w:color="auto"/>
                                                                                        <w:bottom w:val="none" w:sz="0" w:space="0" w:color="auto"/>
                                                                                        <w:right w:val="none" w:sz="0" w:space="0" w:color="auto"/>
                                                                                      </w:divBdr>
                                                                                      <w:divsChild>
                                                                                        <w:div w:id="253901703">
                                                                                          <w:marLeft w:val="0"/>
                                                                                          <w:marRight w:val="0"/>
                                                                                          <w:marTop w:val="0"/>
                                                                                          <w:marBottom w:val="0"/>
                                                                                          <w:divBdr>
                                                                                            <w:top w:val="none" w:sz="0" w:space="0" w:color="auto"/>
                                                                                            <w:left w:val="none" w:sz="0" w:space="0" w:color="auto"/>
                                                                                            <w:bottom w:val="none" w:sz="0" w:space="0" w:color="auto"/>
                                                                                            <w:right w:val="none" w:sz="0" w:space="0" w:color="auto"/>
                                                                                          </w:divBdr>
                                                                                          <w:divsChild>
                                                                                            <w:div w:id="649481921">
                                                                                              <w:marLeft w:val="0"/>
                                                                                              <w:marRight w:val="0"/>
                                                                                              <w:marTop w:val="0"/>
                                                                                              <w:marBottom w:val="0"/>
                                                                                              <w:divBdr>
                                                                                                <w:top w:val="none" w:sz="0" w:space="0" w:color="auto"/>
                                                                                                <w:left w:val="none" w:sz="0" w:space="0" w:color="auto"/>
                                                                                                <w:bottom w:val="none" w:sz="0" w:space="0" w:color="auto"/>
                                                                                                <w:right w:val="none" w:sz="0" w:space="0" w:color="auto"/>
                                                                                              </w:divBdr>
                                                                                              <w:divsChild>
                                                                                                <w:div w:id="705982717">
                                                                                                  <w:marLeft w:val="0"/>
                                                                                                  <w:marRight w:val="0"/>
                                                                                                  <w:marTop w:val="0"/>
                                                                                                  <w:marBottom w:val="0"/>
                                                                                                  <w:divBdr>
                                                                                                    <w:top w:val="none" w:sz="0" w:space="0" w:color="auto"/>
                                                                                                    <w:left w:val="none" w:sz="0" w:space="0" w:color="auto"/>
                                                                                                    <w:bottom w:val="none" w:sz="0" w:space="0" w:color="auto"/>
                                                                                                    <w:right w:val="none" w:sz="0" w:space="0" w:color="auto"/>
                                                                                                  </w:divBdr>
                                                                                                  <w:divsChild>
                                                                                                    <w:div w:id="464395016">
                                                                                                      <w:marLeft w:val="0"/>
                                                                                                      <w:marRight w:val="0"/>
                                                                                                      <w:marTop w:val="0"/>
                                                                                                      <w:marBottom w:val="0"/>
                                                                                                      <w:divBdr>
                                                                                                        <w:top w:val="none" w:sz="0" w:space="0" w:color="auto"/>
                                                                                                        <w:left w:val="none" w:sz="0" w:space="0" w:color="auto"/>
                                                                                                        <w:bottom w:val="none" w:sz="0" w:space="0" w:color="auto"/>
                                                                                                        <w:right w:val="none" w:sz="0" w:space="0" w:color="auto"/>
                                                                                                      </w:divBdr>
                                                                                                      <w:divsChild>
                                                                                                        <w:div w:id="1335572847">
                                                                                                          <w:marLeft w:val="0"/>
                                                                                                          <w:marRight w:val="0"/>
                                                                                                          <w:marTop w:val="0"/>
                                                                                                          <w:marBottom w:val="0"/>
                                                                                                          <w:divBdr>
                                                                                                            <w:top w:val="none" w:sz="0" w:space="0" w:color="auto"/>
                                                                                                            <w:left w:val="none" w:sz="0" w:space="0" w:color="auto"/>
                                                                                                            <w:bottom w:val="none" w:sz="0" w:space="0" w:color="auto"/>
                                                                                                            <w:right w:val="none" w:sz="0" w:space="0" w:color="auto"/>
                                                                                                          </w:divBdr>
                                                                                                          <w:divsChild>
                                                                                                            <w:div w:id="648553673">
                                                                                                              <w:marLeft w:val="0"/>
                                                                                                              <w:marRight w:val="0"/>
                                                                                                              <w:marTop w:val="0"/>
                                                                                                              <w:marBottom w:val="0"/>
                                                                                                              <w:divBdr>
                                                                                                                <w:top w:val="none" w:sz="0" w:space="0" w:color="auto"/>
                                                                                                                <w:left w:val="none" w:sz="0" w:space="0" w:color="auto"/>
                                                                                                                <w:bottom w:val="none" w:sz="0" w:space="0" w:color="auto"/>
                                                                                                                <w:right w:val="none" w:sz="0" w:space="0" w:color="auto"/>
                                                                                                              </w:divBdr>
                                                                                                              <w:divsChild>
                                                                                                                <w:div w:id="66347976">
                                                                                                                  <w:marLeft w:val="0"/>
                                                                                                                  <w:marRight w:val="0"/>
                                                                                                                  <w:marTop w:val="0"/>
                                                                                                                  <w:marBottom w:val="0"/>
                                                                                                                  <w:divBdr>
                                                                                                                    <w:top w:val="none" w:sz="0" w:space="0" w:color="auto"/>
                                                                                                                    <w:left w:val="none" w:sz="0" w:space="0" w:color="auto"/>
                                                                                                                    <w:bottom w:val="none" w:sz="0" w:space="0" w:color="auto"/>
                                                                                                                    <w:right w:val="none" w:sz="0" w:space="0" w:color="auto"/>
                                                                                                                  </w:divBdr>
                                                                                                                  <w:divsChild>
                                                                                                                    <w:div w:id="450436998">
                                                                                                                      <w:marLeft w:val="0"/>
                                                                                                                      <w:marRight w:val="0"/>
                                                                                                                      <w:marTop w:val="0"/>
                                                                                                                      <w:marBottom w:val="0"/>
                                                                                                                      <w:divBdr>
                                                                                                                        <w:top w:val="none" w:sz="0" w:space="0" w:color="auto"/>
                                                                                                                        <w:left w:val="none" w:sz="0" w:space="0" w:color="auto"/>
                                                                                                                        <w:bottom w:val="none" w:sz="0" w:space="0" w:color="auto"/>
                                                                                                                        <w:right w:val="none" w:sz="0" w:space="0" w:color="auto"/>
                                                                                                                      </w:divBdr>
                                                                                                                      <w:divsChild>
                                                                                                                        <w:div w:id="385957287">
                                                                                                                          <w:marLeft w:val="0"/>
                                                                                                                          <w:marRight w:val="0"/>
                                                                                                                          <w:marTop w:val="0"/>
                                                                                                                          <w:marBottom w:val="0"/>
                                                                                                                          <w:divBdr>
                                                                                                                            <w:top w:val="none" w:sz="0" w:space="0" w:color="auto"/>
                                                                                                                            <w:left w:val="none" w:sz="0" w:space="0" w:color="auto"/>
                                                                                                                            <w:bottom w:val="none" w:sz="0" w:space="0" w:color="auto"/>
                                                                                                                            <w:right w:val="none" w:sz="0" w:space="0" w:color="auto"/>
                                                                                                                          </w:divBdr>
                                                                                                                          <w:divsChild>
                                                                                                                            <w:div w:id="1279680536">
                                                                                                                              <w:marLeft w:val="0"/>
                                                                                                                              <w:marRight w:val="0"/>
                                                                                                                              <w:marTop w:val="0"/>
                                                                                                                              <w:marBottom w:val="0"/>
                                                                                                                              <w:divBdr>
                                                                                                                                <w:top w:val="none" w:sz="0" w:space="0" w:color="auto"/>
                                                                                                                                <w:left w:val="none" w:sz="0" w:space="0" w:color="auto"/>
                                                                                                                                <w:bottom w:val="none" w:sz="0" w:space="0" w:color="auto"/>
                                                                                                                                <w:right w:val="none" w:sz="0" w:space="0" w:color="auto"/>
                                                                                                                              </w:divBdr>
                                                                                                                              <w:divsChild>
                                                                                                                                <w:div w:id="1596523858">
                                                                                                                                  <w:marLeft w:val="0"/>
                                                                                                                                  <w:marRight w:val="0"/>
                                                                                                                                  <w:marTop w:val="0"/>
                                                                                                                                  <w:marBottom w:val="0"/>
                                                                                                                                  <w:divBdr>
                                                                                                                                    <w:top w:val="none" w:sz="0" w:space="0" w:color="auto"/>
                                                                                                                                    <w:left w:val="none" w:sz="0" w:space="0" w:color="auto"/>
                                                                                                                                    <w:bottom w:val="none" w:sz="0" w:space="0" w:color="auto"/>
                                                                                                                                    <w:right w:val="none" w:sz="0" w:space="0" w:color="auto"/>
                                                                                                                                  </w:divBdr>
                                                                                                                                  <w:divsChild>
                                                                                                                                    <w:div w:id="1310868017">
                                                                                                                                      <w:marLeft w:val="0"/>
                                                                                                                                      <w:marRight w:val="0"/>
                                                                                                                                      <w:marTop w:val="0"/>
                                                                                                                                      <w:marBottom w:val="0"/>
                                                                                                                                      <w:divBdr>
                                                                                                                                        <w:top w:val="none" w:sz="0" w:space="0" w:color="auto"/>
                                                                                                                                        <w:left w:val="none" w:sz="0" w:space="0" w:color="auto"/>
                                                                                                                                        <w:bottom w:val="none" w:sz="0" w:space="0" w:color="auto"/>
                                                                                                                                        <w:right w:val="none" w:sz="0" w:space="0" w:color="auto"/>
                                                                                                                                      </w:divBdr>
                                                                                                                                      <w:divsChild>
                                                                                                                                        <w:div w:id="1702124904">
                                                                                                                                          <w:marLeft w:val="0"/>
                                                                                                                                          <w:marRight w:val="0"/>
                                                                                                                                          <w:marTop w:val="0"/>
                                                                                                                                          <w:marBottom w:val="0"/>
                                                                                                                                          <w:divBdr>
                                                                                                                                            <w:top w:val="none" w:sz="0" w:space="0" w:color="auto"/>
                                                                                                                                            <w:left w:val="none" w:sz="0" w:space="0" w:color="auto"/>
                                                                                                                                            <w:bottom w:val="none" w:sz="0" w:space="0" w:color="auto"/>
                                                                                                                                            <w:right w:val="none" w:sz="0" w:space="0" w:color="auto"/>
                                                                                                                                          </w:divBdr>
                                                                                                                                          <w:divsChild>
                                                                                                                                            <w:div w:id="1381056615">
                                                                                                                                              <w:marLeft w:val="0"/>
                                                                                                                                              <w:marRight w:val="0"/>
                                                                                                                                              <w:marTop w:val="0"/>
                                                                                                                                              <w:marBottom w:val="0"/>
                                                                                                                                              <w:divBdr>
                                                                                                                                                <w:top w:val="none" w:sz="0" w:space="0" w:color="auto"/>
                                                                                                                                                <w:left w:val="none" w:sz="0" w:space="0" w:color="auto"/>
                                                                                                                                                <w:bottom w:val="none" w:sz="0" w:space="0" w:color="auto"/>
                                                                                                                                                <w:right w:val="none" w:sz="0" w:space="0" w:color="auto"/>
                                                                                                                                              </w:divBdr>
                                                                                                                                              <w:divsChild>
                                                                                                                                                <w:div w:id="2117867745">
                                                                                                                                                  <w:marLeft w:val="0"/>
                                                                                                                                                  <w:marRight w:val="0"/>
                                                                                                                                                  <w:marTop w:val="0"/>
                                                                                                                                                  <w:marBottom w:val="0"/>
                                                                                                                                                  <w:divBdr>
                                                                                                                                                    <w:top w:val="none" w:sz="0" w:space="0" w:color="auto"/>
                                                                                                                                                    <w:left w:val="none" w:sz="0" w:space="0" w:color="auto"/>
                                                                                                                                                    <w:bottom w:val="none" w:sz="0" w:space="0" w:color="auto"/>
                                                                                                                                                    <w:right w:val="none" w:sz="0" w:space="0" w:color="auto"/>
                                                                                                                                                  </w:divBdr>
                                                                                                                                                  <w:divsChild>
                                                                                                                                                    <w:div w:id="1729108685">
                                                                                                                                                      <w:marLeft w:val="0"/>
                                                                                                                                                      <w:marRight w:val="0"/>
                                                                                                                                                      <w:marTop w:val="0"/>
                                                                                                                                                      <w:marBottom w:val="0"/>
                                                                                                                                                      <w:divBdr>
                                                                                                                                                        <w:top w:val="none" w:sz="0" w:space="0" w:color="auto"/>
                                                                                                                                                        <w:left w:val="none" w:sz="0" w:space="0" w:color="auto"/>
                                                                                                                                                        <w:bottom w:val="none" w:sz="0" w:space="0" w:color="auto"/>
                                                                                                                                                        <w:right w:val="none" w:sz="0" w:space="0" w:color="auto"/>
                                                                                                                                                      </w:divBdr>
                                                                                                                                                      <w:divsChild>
                                                                                                                                                        <w:div w:id="850527636">
                                                                                                                                                          <w:marLeft w:val="0"/>
                                                                                                                                                          <w:marRight w:val="0"/>
                                                                                                                                                          <w:marTop w:val="0"/>
                                                                                                                                                          <w:marBottom w:val="0"/>
                                                                                                                                                          <w:divBdr>
                                                                                                                                                            <w:top w:val="none" w:sz="0" w:space="0" w:color="auto"/>
                                                                                                                                                            <w:left w:val="none" w:sz="0" w:space="0" w:color="auto"/>
                                                                                                                                                            <w:bottom w:val="none" w:sz="0" w:space="0" w:color="auto"/>
                                                                                                                                                            <w:right w:val="none" w:sz="0" w:space="0" w:color="auto"/>
                                                                                                                                                          </w:divBdr>
                                                                                                                                                          <w:divsChild>
                                                                                                                                                            <w:div w:id="1750496250">
                                                                                                                                                              <w:marLeft w:val="0"/>
                                                                                                                                                              <w:marRight w:val="0"/>
                                                                                                                                                              <w:marTop w:val="0"/>
                                                                                                                                                              <w:marBottom w:val="0"/>
                                                                                                                                                              <w:divBdr>
                                                                                                                                                                <w:top w:val="none" w:sz="0" w:space="0" w:color="auto"/>
                                                                                                                                                                <w:left w:val="none" w:sz="0" w:space="0" w:color="auto"/>
                                                                                                                                                                <w:bottom w:val="none" w:sz="0" w:space="0" w:color="auto"/>
                                                                                                                                                                <w:right w:val="none" w:sz="0" w:space="0" w:color="auto"/>
                                                                                                                                                              </w:divBdr>
                                                                                                                                                              <w:divsChild>
                                                                                                                                                                <w:div w:id="875236432">
                                                                                                                                                                  <w:marLeft w:val="0"/>
                                                                                                                                                                  <w:marRight w:val="0"/>
                                                                                                                                                                  <w:marTop w:val="0"/>
                                                                                                                                                                  <w:marBottom w:val="0"/>
                                                                                                                                                                  <w:divBdr>
                                                                                                                                                                    <w:top w:val="none" w:sz="0" w:space="0" w:color="auto"/>
                                                                                                                                                                    <w:left w:val="none" w:sz="0" w:space="0" w:color="auto"/>
                                                                                                                                                                    <w:bottom w:val="none" w:sz="0" w:space="0" w:color="auto"/>
                                                                                                                                                                    <w:right w:val="none" w:sz="0" w:space="0" w:color="auto"/>
                                                                                                                                                                  </w:divBdr>
                                                                                                                                                                  <w:divsChild>
                                                                                                                                                                    <w:div w:id="951403751">
                                                                                                                                                                      <w:marLeft w:val="0"/>
                                                                                                                                                                      <w:marRight w:val="0"/>
                                                                                                                                                                      <w:marTop w:val="0"/>
                                                                                                                                                                      <w:marBottom w:val="0"/>
                                                                                                                                                                      <w:divBdr>
                                                                                                                                                                        <w:top w:val="none" w:sz="0" w:space="0" w:color="auto"/>
                                                                                                                                                                        <w:left w:val="none" w:sz="0" w:space="0" w:color="auto"/>
                                                                                                                                                                        <w:bottom w:val="none" w:sz="0" w:space="0" w:color="auto"/>
                                                                                                                                                                        <w:right w:val="none" w:sz="0" w:space="0" w:color="auto"/>
                                                                                                                                                                      </w:divBdr>
                                                                                                                                                                      <w:divsChild>
                                                                                                                                                                        <w:div w:id="2143426526">
                                                                                                                                                                          <w:marLeft w:val="0"/>
                                                                                                                                                                          <w:marRight w:val="0"/>
                                                                                                                                                                          <w:marTop w:val="0"/>
                                                                                                                                                                          <w:marBottom w:val="0"/>
                                                                                                                                                                          <w:divBdr>
                                                                                                                                                                            <w:top w:val="none" w:sz="0" w:space="0" w:color="auto"/>
                                                                                                                                                                            <w:left w:val="none" w:sz="0" w:space="0" w:color="auto"/>
                                                                                                                                                                            <w:bottom w:val="none" w:sz="0" w:space="0" w:color="auto"/>
                                                                                                                                                                            <w:right w:val="none" w:sz="0" w:space="0" w:color="auto"/>
                                                                                                                                                                          </w:divBdr>
                                                                                                                                                                          <w:divsChild>
                                                                                                                                                                            <w:div w:id="1586260140">
                                                                                                                                                                              <w:marLeft w:val="0"/>
                                                                                                                                                                              <w:marRight w:val="0"/>
                                                                                                                                                                              <w:marTop w:val="0"/>
                                                                                                                                                                              <w:marBottom w:val="0"/>
                                                                                                                                                                              <w:divBdr>
                                                                                                                                                                                <w:top w:val="none" w:sz="0" w:space="0" w:color="auto"/>
                                                                                                                                                                                <w:left w:val="none" w:sz="0" w:space="0" w:color="auto"/>
                                                                                                                                                                                <w:bottom w:val="none" w:sz="0" w:space="0" w:color="auto"/>
                                                                                                                                                                                <w:right w:val="none" w:sz="0" w:space="0" w:color="auto"/>
                                                                                                                                                                              </w:divBdr>
                                                                                                                                                                              <w:divsChild>
                                                                                                                                                                                <w:div w:id="1734038496">
                                                                                                                                                                                  <w:marLeft w:val="0"/>
                                                                                                                                                                                  <w:marRight w:val="0"/>
                                                                                                                                                                                  <w:marTop w:val="0"/>
                                                                                                                                                                                  <w:marBottom w:val="0"/>
                                                                                                                                                                                  <w:divBdr>
                                                                                                                                                                                    <w:top w:val="none" w:sz="0" w:space="0" w:color="auto"/>
                                                                                                                                                                                    <w:left w:val="none" w:sz="0" w:space="0" w:color="auto"/>
                                                                                                                                                                                    <w:bottom w:val="none" w:sz="0" w:space="0" w:color="auto"/>
                                                                                                                                                                                    <w:right w:val="none" w:sz="0" w:space="0" w:color="auto"/>
                                                                                                                                                                                  </w:divBdr>
                                                                                                                                                                                  <w:divsChild>
                                                                                                                                                                                    <w:div w:id="1634679998">
                                                                                                                                                                                      <w:marLeft w:val="0"/>
                                                                                                                                                                                      <w:marRight w:val="0"/>
                                                                                                                                                                                      <w:marTop w:val="0"/>
                                                                                                                                                                                      <w:marBottom w:val="0"/>
                                                                                                                                                                                      <w:divBdr>
                                                                                                                                                                                        <w:top w:val="none" w:sz="0" w:space="0" w:color="auto"/>
                                                                                                                                                                                        <w:left w:val="none" w:sz="0" w:space="0" w:color="auto"/>
                                                                                                                                                                                        <w:bottom w:val="none" w:sz="0" w:space="0" w:color="auto"/>
                                                                                                                                                                                        <w:right w:val="none" w:sz="0" w:space="0" w:color="auto"/>
                                                                                                                                                                                      </w:divBdr>
                                                                                                                                                                                      <w:divsChild>
                                                                                                                                                                                        <w:div w:id="317461255">
                                                                                                                                                                                          <w:marLeft w:val="0"/>
                                                                                                                                                                                          <w:marRight w:val="0"/>
                                                                                                                                                                                          <w:marTop w:val="0"/>
                                                                                                                                                                                          <w:marBottom w:val="0"/>
                                                                                                                                                                                          <w:divBdr>
                                                                                                                                                                                            <w:top w:val="none" w:sz="0" w:space="0" w:color="auto"/>
                                                                                                                                                                                            <w:left w:val="none" w:sz="0" w:space="0" w:color="auto"/>
                                                                                                                                                                                            <w:bottom w:val="none" w:sz="0" w:space="0" w:color="auto"/>
                                                                                                                                                                                            <w:right w:val="none" w:sz="0" w:space="0" w:color="auto"/>
                                                                                                                                                                                          </w:divBdr>
                                                                                                                                                                                          <w:divsChild>
                                                                                                                                                                                            <w:div w:id="1520049957">
                                                                                                                                                                                              <w:marLeft w:val="0"/>
                                                                                                                                                                                              <w:marRight w:val="0"/>
                                                                                                                                                                                              <w:marTop w:val="0"/>
                                                                                                                                                                                              <w:marBottom w:val="0"/>
                                                                                                                                                                                              <w:divBdr>
                                                                                                                                                                                                <w:top w:val="none" w:sz="0" w:space="0" w:color="auto"/>
                                                                                                                                                                                                <w:left w:val="none" w:sz="0" w:space="0" w:color="auto"/>
                                                                                                                                                                                                <w:bottom w:val="none" w:sz="0" w:space="0" w:color="auto"/>
                                                                                                                                                                                                <w:right w:val="none" w:sz="0" w:space="0" w:color="auto"/>
                                                                                                                                                                                              </w:divBdr>
                                                                                                                                                                                              <w:divsChild>
                                                                                                                                                                                                <w:div w:id="48497358">
                                                                                                                                                                                                  <w:marLeft w:val="0"/>
                                                                                                                                                                                                  <w:marRight w:val="0"/>
                                                                                                                                                                                                  <w:marTop w:val="0"/>
                                                                                                                                                                                                  <w:marBottom w:val="0"/>
                                                                                                                                                                                                  <w:divBdr>
                                                                                                                                                                                                    <w:top w:val="none" w:sz="0" w:space="0" w:color="auto"/>
                                                                                                                                                                                                    <w:left w:val="none" w:sz="0" w:space="0" w:color="auto"/>
                                                                                                                                                                                                    <w:bottom w:val="none" w:sz="0" w:space="0" w:color="auto"/>
                                                                                                                                                                                                    <w:right w:val="none" w:sz="0" w:space="0" w:color="auto"/>
                                                                                                                                                                                                  </w:divBdr>
                                                                                                                                                                                                  <w:divsChild>
                                                                                                                                                                                                    <w:div w:id="1011566650">
                                                                                                                                                                                                      <w:marLeft w:val="0"/>
                                                                                                                                                                                                      <w:marRight w:val="0"/>
                                                                                                                                                                                                      <w:marTop w:val="0"/>
                                                                                                                                                                                                      <w:marBottom w:val="0"/>
                                                                                                                                                                                                      <w:divBdr>
                                                                                                                                                                                                        <w:top w:val="none" w:sz="0" w:space="0" w:color="auto"/>
                                                                                                                                                                                                        <w:left w:val="none" w:sz="0" w:space="0" w:color="auto"/>
                                                                                                                                                                                                        <w:bottom w:val="none" w:sz="0" w:space="0" w:color="auto"/>
                                                                                                                                                                                                        <w:right w:val="none" w:sz="0" w:space="0" w:color="auto"/>
                                                                                                                                                                                                      </w:divBdr>
                                                                                                                                                                                                      <w:divsChild>
                                                                                                                                                                                                        <w:div w:id="1919243248">
                                                                                                                                                                                                          <w:marLeft w:val="0"/>
                                                                                                                                                                                                          <w:marRight w:val="0"/>
                                                                                                                                                                                                          <w:marTop w:val="0"/>
                                                                                                                                                                                                          <w:marBottom w:val="0"/>
                                                                                                                                                                                                          <w:divBdr>
                                                                                                                                                                                                            <w:top w:val="none" w:sz="0" w:space="0" w:color="auto"/>
                                                                                                                                                                                                            <w:left w:val="none" w:sz="0" w:space="0" w:color="auto"/>
                                                                                                                                                                                                            <w:bottom w:val="none" w:sz="0" w:space="0" w:color="auto"/>
                                                                                                                                                                                                            <w:right w:val="none" w:sz="0" w:space="0" w:color="auto"/>
                                                                                                                                                                                                          </w:divBdr>
                                                                                                                                                                                                          <w:divsChild>
                                                                                                                                                                                                            <w:div w:id="1644771942">
                                                                                                                                                                                                              <w:marLeft w:val="0"/>
                                                                                                                                                                                                              <w:marRight w:val="0"/>
                                                                                                                                                                                                              <w:marTop w:val="0"/>
                                                                                                                                                                                                              <w:marBottom w:val="0"/>
                                                                                                                                                                                                              <w:divBdr>
                                                                                                                                                                                                                <w:top w:val="none" w:sz="0" w:space="0" w:color="auto"/>
                                                                                                                                                                                                                <w:left w:val="none" w:sz="0" w:space="0" w:color="auto"/>
                                                                                                                                                                                                                <w:bottom w:val="none" w:sz="0" w:space="0" w:color="auto"/>
                                                                                                                                                                                                                <w:right w:val="none" w:sz="0" w:space="0" w:color="auto"/>
                                                                                                                                                                                                              </w:divBdr>
                                                                                                                                                                                                              <w:divsChild>
                                                                                                                                                                                                                <w:div w:id="65685904">
                                                                                                                                                                                                                  <w:marLeft w:val="0"/>
                                                                                                                                                                                                                  <w:marRight w:val="0"/>
                                                                                                                                                                                                                  <w:marTop w:val="0"/>
                                                                                                                                                                                                                  <w:marBottom w:val="0"/>
                                                                                                                                                                                                                  <w:divBdr>
                                                                                                                                                                                                                    <w:top w:val="none" w:sz="0" w:space="0" w:color="auto"/>
                                                                                                                                                                                                                    <w:left w:val="none" w:sz="0" w:space="0" w:color="auto"/>
                                                                                                                                                                                                                    <w:bottom w:val="none" w:sz="0" w:space="0" w:color="auto"/>
                                                                                                                                                                                                                    <w:right w:val="none" w:sz="0" w:space="0" w:color="auto"/>
                                                                                                                                                                                                                  </w:divBdr>
                                                                                                                                                                                                                  <w:divsChild>
                                                                                                                                                                                                                    <w:div w:id="1344434949">
                                                                                                                                                                                                                      <w:marLeft w:val="0"/>
                                                                                                                                                                                                                      <w:marRight w:val="0"/>
                                                                                                                                                                                                                      <w:marTop w:val="0"/>
                                                                                                                                                                                                                      <w:marBottom w:val="0"/>
                                                                                                                                                                                                                      <w:divBdr>
                                                                                                                                                                                                                        <w:top w:val="none" w:sz="0" w:space="0" w:color="auto"/>
                                                                                                                                                                                                                        <w:left w:val="none" w:sz="0" w:space="0" w:color="auto"/>
                                                                                                                                                                                                                        <w:bottom w:val="none" w:sz="0" w:space="0" w:color="auto"/>
                                                                                                                                                                                                                        <w:right w:val="none" w:sz="0" w:space="0" w:color="auto"/>
                                                                                                                                                                                                                      </w:divBdr>
                                                                                                                                                                                                                      <w:divsChild>
                                                                                                                                                                                                                        <w:div w:id="1817843941">
                                                                                                                                                                                                                          <w:marLeft w:val="0"/>
                                                                                                                                                                                                                          <w:marRight w:val="0"/>
                                                                                                                                                                                                                          <w:marTop w:val="0"/>
                                                                                                                                                                                                                          <w:marBottom w:val="0"/>
                                                                                                                                                                                                                          <w:divBdr>
                                                                                                                                                                                                                            <w:top w:val="none" w:sz="0" w:space="0" w:color="auto"/>
                                                                                                                                                                                                                            <w:left w:val="none" w:sz="0" w:space="0" w:color="auto"/>
                                                                                                                                                                                                                            <w:bottom w:val="none" w:sz="0" w:space="0" w:color="auto"/>
                                                                                                                                                                                                                            <w:right w:val="none" w:sz="0" w:space="0" w:color="auto"/>
                                                                                                                                                                                                                          </w:divBdr>
                                                                                                                                                                                                                          <w:divsChild>
                                                                                                                                                                                                                            <w:div w:id="1903559472">
                                                                                                                                                                                                                              <w:marLeft w:val="0"/>
                                                                                                                                                                                                                              <w:marRight w:val="0"/>
                                                                                                                                                                                                                              <w:marTop w:val="0"/>
                                                                                                                                                                                                                              <w:marBottom w:val="0"/>
                                                                                                                                                                                                                              <w:divBdr>
                                                                                                                                                                                                                                <w:top w:val="none" w:sz="0" w:space="0" w:color="auto"/>
                                                                                                                                                                                                                                <w:left w:val="none" w:sz="0" w:space="0" w:color="auto"/>
                                                                                                                                                                                                                                <w:bottom w:val="none" w:sz="0" w:space="0" w:color="auto"/>
                                                                                                                                                                                                                                <w:right w:val="none" w:sz="0" w:space="0" w:color="auto"/>
                                                                                                                                                                                                                              </w:divBdr>
                                                                                                                                                                                                                              <w:divsChild>
                                                                                                                                                                                                                                <w:div w:id="20866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5300980">
      <w:bodyDiv w:val="1"/>
      <w:marLeft w:val="0"/>
      <w:marRight w:val="0"/>
      <w:marTop w:val="0"/>
      <w:marBottom w:val="0"/>
      <w:divBdr>
        <w:top w:val="none" w:sz="0" w:space="0" w:color="auto"/>
        <w:left w:val="none" w:sz="0" w:space="0" w:color="auto"/>
        <w:bottom w:val="none" w:sz="0" w:space="0" w:color="auto"/>
        <w:right w:val="none" w:sz="0" w:space="0" w:color="auto"/>
      </w:divBdr>
      <w:divsChild>
        <w:div w:id="206337272">
          <w:marLeft w:val="0"/>
          <w:marRight w:val="0"/>
          <w:marTop w:val="0"/>
          <w:marBottom w:val="0"/>
          <w:divBdr>
            <w:top w:val="none" w:sz="0" w:space="0" w:color="auto"/>
            <w:left w:val="none" w:sz="0" w:space="0" w:color="auto"/>
            <w:bottom w:val="none" w:sz="0" w:space="0" w:color="auto"/>
            <w:right w:val="none" w:sz="0" w:space="0" w:color="auto"/>
          </w:divBdr>
        </w:div>
        <w:div w:id="553007827">
          <w:marLeft w:val="0"/>
          <w:marRight w:val="0"/>
          <w:marTop w:val="0"/>
          <w:marBottom w:val="0"/>
          <w:divBdr>
            <w:top w:val="none" w:sz="0" w:space="0" w:color="auto"/>
            <w:left w:val="none" w:sz="0" w:space="0" w:color="auto"/>
            <w:bottom w:val="none" w:sz="0" w:space="0" w:color="auto"/>
            <w:right w:val="none" w:sz="0" w:space="0" w:color="auto"/>
          </w:divBdr>
          <w:divsChild>
            <w:div w:id="911814957">
              <w:marLeft w:val="0"/>
              <w:marRight w:val="0"/>
              <w:marTop w:val="0"/>
              <w:marBottom w:val="0"/>
              <w:divBdr>
                <w:top w:val="none" w:sz="0" w:space="0" w:color="auto"/>
                <w:left w:val="none" w:sz="0" w:space="0" w:color="auto"/>
                <w:bottom w:val="none" w:sz="0" w:space="0" w:color="auto"/>
                <w:right w:val="none" w:sz="0" w:space="0" w:color="auto"/>
              </w:divBdr>
            </w:div>
          </w:divsChild>
        </w:div>
        <w:div w:id="1527711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oleObject" Target="embeddings/oleObject7.bin"/><Relationship Id="rId33" Type="http://schemas.openxmlformats.org/officeDocument/2006/relationships/hyperlink" Target="mailto:stefano.casalini@unimore.it" TargetMode="Externa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9.wmf"/><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1.wmf"/><Relationship Id="rId32" Type="http://schemas.openxmlformats.org/officeDocument/2006/relationships/image" Target="media/image18.jpeg"/><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oleObject" Target="embeddings/oleObject6.bin"/><Relationship Id="rId28" Type="http://schemas.openxmlformats.org/officeDocument/2006/relationships/image" Target="media/image14.jpeg"/><Relationship Id="rId36"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image" Target="media/image8.wmf"/><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10.wmf"/><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9EA07-F2A3-4B89-8BC5-760C7F82C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33658</Words>
  <Characters>185125</Characters>
  <Application>Microsoft Office Word</Application>
  <DocSecurity>4</DocSecurity>
  <Lines>1542</Lines>
  <Paragraphs>436</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Template for Electronic Submission to ACS Journals</vt:lpstr>
      <vt:lpstr>Template for Electronic Submission to ACS Journals</vt:lpstr>
    </vt:vector>
  </TitlesOfParts>
  <Company/>
  <LinksUpToDate>false</LinksUpToDate>
  <CharactersWithSpaces>218347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casolo</dc:creator>
  <cp:lastModifiedBy>Administrador</cp:lastModifiedBy>
  <cp:revision>2</cp:revision>
  <cp:lastPrinted>2014-06-03T07:56:00Z</cp:lastPrinted>
  <dcterms:created xsi:type="dcterms:W3CDTF">2015-05-28T10:50:00Z</dcterms:created>
  <dcterms:modified xsi:type="dcterms:W3CDTF">2015-05-28T10:50:00Z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InstantFormat">
    <vt:lpwstr>&lt;ENInstantFormat&gt;&lt;Enabled&gt;1&lt;/Enabled&gt;&lt;ScanUnformatted&gt;1&lt;/ScanUnformatted&gt;&lt;ScanChanges&gt;1&lt;/ScanChanges&gt;&lt;Suspended&gt;0&lt;/Suspended&gt;&lt;/ENInstantFormat&gt;</vt:lpwstr>
  </property>
  <property fmtid="{D5CDD505-2E9C-101B-9397-08002B2CF9AE}" pid="3" name="EN.Layout">
    <vt:lpwstr>&lt;ENLayout&gt;&lt;Style&gt;ACS&lt;/Style&gt;&lt;LeftDelim&gt;{&lt;/LeftDelim&gt;&lt;RightDelim&gt;}&lt;/RightDelim&gt;&lt;FontName&gt;Times&lt;/FontName&gt;&lt;FontSize&gt;12&lt;/FontSize&gt;&lt;ReflistTitle&gt;&lt;/ReflistTitle&gt;&lt;StartingRefnum&gt;1&lt;/StartingRefnum&gt;&lt;FirstLineIndent&gt;0&lt;/FirstLineIndent&gt;&lt;HangingIndent&gt;720&lt;/HangingIn</vt:lpwstr>
  </property>
  <property fmtid="{D5CDD505-2E9C-101B-9397-08002B2CF9AE}" pid="4" name="Mendeley Document_1">
    <vt:lpwstr>True</vt:lpwstr>
  </property>
  <property fmtid="{D5CDD505-2E9C-101B-9397-08002B2CF9AE}" pid="5" name="Mendeley User Name_1">
    <vt:lpwstr>stfn.casalini@gmail.com@www.mendeley.com</vt:lpwstr>
  </property>
  <property fmtid="{D5CDD505-2E9C-101B-9397-08002B2CF9AE}" pid="6" name="Mendeley Citation Style_1">
    <vt:lpwstr>http://www.zotero.org/styles/acs-nano</vt:lpwstr>
  </property>
  <property fmtid="{D5CDD505-2E9C-101B-9397-08002B2CF9AE}" pid="7" name="Mendeley Recent Style Id 0_1">
    <vt:lpwstr>http://www.zotero.org/styles/acs-applied-materials-and-interfaces</vt:lpwstr>
  </property>
  <property fmtid="{D5CDD505-2E9C-101B-9397-08002B2CF9AE}" pid="8" name="Mendeley Recent Style Name 0_1">
    <vt:lpwstr>ACS Applied Materials &amp; Interfaces</vt:lpwstr>
  </property>
  <property fmtid="{D5CDD505-2E9C-101B-9397-08002B2CF9AE}" pid="9" name="Mendeley Recent Style Id 1_1">
    <vt:lpwstr>http://www.zotero.org/styles/acs-nano</vt:lpwstr>
  </property>
  <property fmtid="{D5CDD505-2E9C-101B-9397-08002B2CF9AE}" pid="10" name="Mendeley Recent Style Name 1_1">
    <vt:lpwstr>ACS Nano</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6th edition</vt:lpwstr>
  </property>
  <property fmtid="{D5CDD505-2E9C-101B-9397-08002B2CF9AE}" pid="13" name="Mendeley Recent Style Id 3_1">
    <vt:lpwstr>http://www.zotero.org/styles/chemical-society-reviews</vt:lpwstr>
  </property>
  <property fmtid="{D5CDD505-2E9C-101B-9397-08002B2CF9AE}" pid="14" name="Mendeley Recent Style Name 3_1">
    <vt:lpwstr>Chemical Society Reviews</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16th edition (author-date)</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(author-date)</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7th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